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2127F2" w14:textId="34D90110" w:rsidR="00834D43" w:rsidRPr="00F05123" w:rsidRDefault="0076412D">
      <w:pPr>
        <w:rPr>
          <w:rFonts w:ascii="Times New Roman" w:hAnsi="Times New Roman" w:cs="Times New Roman"/>
          <w:b/>
          <w:bCs/>
          <w:sz w:val="24"/>
          <w:szCs w:val="24"/>
        </w:rPr>
      </w:pPr>
      <w:r w:rsidRPr="00F05123">
        <w:rPr>
          <w:rFonts w:ascii="Times New Roman" w:hAnsi="Times New Roman" w:cs="Times New Roman"/>
          <w:noProof/>
        </w:rPr>
        <w:drawing>
          <wp:anchor distT="0" distB="0" distL="114300" distR="114300" simplePos="0" relativeHeight="251740160" behindDoc="1" locked="0" layoutInCell="1" allowOverlap="1" wp14:anchorId="0AA52E38" wp14:editId="287E0A5D">
            <wp:simplePos x="0" y="0"/>
            <wp:positionH relativeFrom="page">
              <wp:align>left</wp:align>
            </wp:positionH>
            <wp:positionV relativeFrom="paragraph">
              <wp:posOffset>-894715</wp:posOffset>
            </wp:positionV>
            <wp:extent cx="7839075" cy="10325100"/>
            <wp:effectExtent l="0" t="0" r="9525" b="0"/>
            <wp:wrapNone/>
            <wp:docPr id="50" name="Picture 33" descr="A picture containing building&#10;&#10;Description automatically generated">
              <a:extLst xmlns:a="http://schemas.openxmlformats.org/drawingml/2006/main">
                <a:ext uri="{FF2B5EF4-FFF2-40B4-BE49-F238E27FC236}">
                  <a16:creationId xmlns:a16="http://schemas.microsoft.com/office/drawing/2014/main" id="{9534BB80-EF05-AB43-950B-D8B3A69593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descr="A picture containing building&#10;&#10;Description automatically generated">
                      <a:extLst>
                        <a:ext uri="{FF2B5EF4-FFF2-40B4-BE49-F238E27FC236}">
                          <a16:creationId xmlns:a16="http://schemas.microsoft.com/office/drawing/2014/main" id="{9534BB80-EF05-AB43-950B-D8B3A6959341}"/>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7839075" cy="10325100"/>
                    </a:xfrm>
                    <a:prstGeom prst="rect">
                      <a:avLst/>
                    </a:prstGeom>
                  </pic:spPr>
                </pic:pic>
              </a:graphicData>
            </a:graphic>
            <wp14:sizeRelH relativeFrom="margin">
              <wp14:pctWidth>0</wp14:pctWidth>
            </wp14:sizeRelH>
            <wp14:sizeRelV relativeFrom="margin">
              <wp14:pctHeight>0</wp14:pctHeight>
            </wp14:sizeRelV>
          </wp:anchor>
        </w:drawing>
      </w:r>
    </w:p>
    <w:p w14:paraId="706B0182" w14:textId="040A8700" w:rsidR="0085133D" w:rsidRPr="00F05123" w:rsidRDefault="00A223A8">
      <w:pPr>
        <w:rPr>
          <w:rFonts w:ascii="Times New Roman" w:hAnsi="Times New Roman" w:cs="Times New Roman"/>
          <w:b/>
          <w:bCs/>
          <w:sz w:val="24"/>
          <w:szCs w:val="24"/>
        </w:rPr>
      </w:pPr>
      <w:r>
        <w:rPr>
          <w:rFonts w:ascii="Times New Roman" w:hAnsi="Times New Roman" w:cs="Times New Roman"/>
          <w:noProof/>
        </w:rPr>
        <mc:AlternateContent>
          <mc:Choice Requires="wps">
            <w:drawing>
              <wp:anchor distT="0" distB="0" distL="114300" distR="114300" simplePos="0" relativeHeight="251823104" behindDoc="0" locked="0" layoutInCell="1" allowOverlap="1" wp14:anchorId="0D33F902" wp14:editId="43AFF64A">
                <wp:simplePos x="0" y="0"/>
                <wp:positionH relativeFrom="page">
                  <wp:align>right</wp:align>
                </wp:positionH>
                <wp:positionV relativeFrom="paragraph">
                  <wp:posOffset>143510</wp:posOffset>
                </wp:positionV>
                <wp:extent cx="3787140" cy="185166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3787140" cy="1851660"/>
                        </a:xfrm>
                        <a:prstGeom prst="rect">
                          <a:avLst/>
                        </a:prstGeom>
                        <a:noFill/>
                      </wps:spPr>
                      <wps:txbx>
                        <w:txbxContent>
                          <w:p w14:paraId="0A023B59" w14:textId="131B642F" w:rsidR="0067342A" w:rsidRDefault="0067342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D33F902" id="_x0000_t202" coordsize="21600,21600" o:spt="202" path="m,l,21600r21600,l21600,xe">
                <v:stroke joinstyle="miter"/>
                <v:path gradientshapeok="t" o:connecttype="rect"/>
              </v:shapetype>
              <v:shape id="Text Box 12" o:spid="_x0000_s1026" type="#_x0000_t202" style="position:absolute;margin-left:247pt;margin-top:11.3pt;width:298.2pt;height:145.8pt;z-index:25182310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" filled="f" stroked="f">
                <v:textbox inset="0,0,0,0">
                  <w:txbxContent>
                    <w:p w14:paraId="0A023B59" w14:textId="131B642F" w:rsidR="0067342A" w:rsidRDefault="0067342A"/>
                  </w:txbxContent>
                </v:textbox>
                <w10:wrap anchorx="page"/>
              </v:shape>
            </w:pict>
          </mc:Fallback>
        </mc:AlternateContent>
      </w:r>
    </w:p>
    <w:p w14:paraId="6DD9657C" w14:textId="5E57FBFD" w:rsidR="0085133D" w:rsidRPr="00F05123" w:rsidRDefault="0085133D">
      <w:pPr>
        <w:rPr>
          <w:rFonts w:ascii="Times New Roman" w:hAnsi="Times New Roman" w:cs="Times New Roman"/>
          <w:b/>
          <w:bCs/>
          <w:sz w:val="24"/>
          <w:szCs w:val="24"/>
        </w:rPr>
      </w:pPr>
    </w:p>
    <w:p w14:paraId="3C3761BB" w14:textId="77777777" w:rsidR="0085133D" w:rsidRPr="00F05123" w:rsidRDefault="0085133D">
      <w:pPr>
        <w:rPr>
          <w:rFonts w:ascii="Times New Roman" w:hAnsi="Times New Roman" w:cs="Times New Roman"/>
          <w:b/>
          <w:bCs/>
          <w:sz w:val="24"/>
          <w:szCs w:val="24"/>
        </w:rPr>
      </w:pPr>
    </w:p>
    <w:p w14:paraId="0C49DBED" w14:textId="41DA265D" w:rsidR="0085133D" w:rsidRPr="00F05123" w:rsidRDefault="0085133D" w:rsidP="0085133D">
      <w:pPr>
        <w:spacing w:after="0" w:line="281" w:lineRule="auto"/>
        <w:rPr>
          <w:rFonts w:ascii="Times New Roman" w:eastAsia="Times New Roman" w:hAnsi="Times New Roman" w:cs="Times New Roman"/>
          <w:b/>
          <w:color w:val="0D0D0D"/>
          <w:sz w:val="24"/>
          <w:szCs w:val="24"/>
        </w:rPr>
      </w:pPr>
      <w:bookmarkStart w:id="0" w:name="_Hlk67187579"/>
      <w:bookmarkEnd w:id="0"/>
    </w:p>
    <w:p w14:paraId="3690BAA9" w14:textId="77777777" w:rsidR="0085133D" w:rsidRPr="00F05123" w:rsidRDefault="0085133D" w:rsidP="0085133D">
      <w:pPr>
        <w:spacing w:after="0" w:line="281" w:lineRule="auto"/>
        <w:rPr>
          <w:rFonts w:ascii="Times New Roman" w:eastAsia="Times New Roman" w:hAnsi="Times New Roman" w:cs="Times New Roman"/>
          <w:b/>
          <w:color w:val="0D0D0D"/>
          <w:sz w:val="24"/>
          <w:szCs w:val="24"/>
        </w:rPr>
      </w:pPr>
    </w:p>
    <w:p w14:paraId="17B907F1" w14:textId="2EFD2B7A" w:rsidR="0085133D" w:rsidRPr="00F05123" w:rsidRDefault="0085133D" w:rsidP="0085133D">
      <w:pPr>
        <w:spacing w:after="0" w:line="281" w:lineRule="auto"/>
        <w:rPr>
          <w:rFonts w:ascii="Times New Roman" w:eastAsia="Times New Roman" w:hAnsi="Times New Roman" w:cs="Times New Roman"/>
          <w:b/>
          <w:color w:val="0D0D0D"/>
          <w:sz w:val="24"/>
          <w:szCs w:val="24"/>
        </w:rPr>
      </w:pPr>
    </w:p>
    <w:p w14:paraId="0F01AD19" w14:textId="77777777" w:rsidR="000D248F" w:rsidRDefault="000519A7" w:rsidP="007536A1">
      <w:pPr>
        <w:spacing w:after="0" w:line="281" w:lineRule="auto"/>
        <w:ind w:left="-450"/>
        <w:rPr>
          <w:rFonts w:ascii="Times New Roman" w:eastAsia="Times New Roman" w:hAnsi="Times New Roman" w:cs="Times New Roman"/>
          <w:b/>
          <w:color w:val="FFFFFF" w:themeColor="background1"/>
          <w:sz w:val="52"/>
          <w:szCs w:val="52"/>
        </w:rPr>
      </w:pPr>
      <w:r>
        <w:rPr>
          <w:rFonts w:ascii="Times New Roman" w:eastAsia="Times New Roman" w:hAnsi="Times New Roman" w:cs="Times New Roman"/>
          <w:b/>
          <w:color w:val="FFFFFF" w:themeColor="background1"/>
          <w:sz w:val="52"/>
          <w:szCs w:val="52"/>
        </w:rPr>
        <w:t>Tesco Plc</w:t>
      </w:r>
      <w:r w:rsidR="0085133D" w:rsidRPr="00F05123">
        <w:rPr>
          <w:rFonts w:ascii="Times New Roman" w:eastAsia="Times New Roman" w:hAnsi="Times New Roman" w:cs="Times New Roman"/>
          <w:b/>
          <w:color w:val="FFFFFF" w:themeColor="background1"/>
          <w:sz w:val="52"/>
          <w:szCs w:val="52"/>
        </w:rPr>
        <w:t>.</w:t>
      </w:r>
      <w:r w:rsidR="00705C57" w:rsidRPr="00F05123">
        <w:rPr>
          <w:rFonts w:ascii="Times New Roman" w:eastAsia="Times New Roman" w:hAnsi="Times New Roman" w:cs="Times New Roman"/>
          <w:b/>
          <w:color w:val="FFFFFF" w:themeColor="background1"/>
          <w:sz w:val="52"/>
          <w:szCs w:val="52"/>
        </w:rPr>
        <w:t xml:space="preserve">   </w:t>
      </w:r>
    </w:p>
    <w:p w14:paraId="23515E71" w14:textId="77777777" w:rsidR="000D248F" w:rsidRDefault="000D248F" w:rsidP="007536A1">
      <w:pPr>
        <w:spacing w:after="0" w:line="281" w:lineRule="auto"/>
        <w:ind w:left="-450"/>
        <w:rPr>
          <w:rFonts w:ascii="Times New Roman" w:eastAsia="Times New Roman" w:hAnsi="Times New Roman" w:cs="Times New Roman"/>
          <w:b/>
          <w:color w:val="FFFFFF" w:themeColor="background1"/>
          <w:sz w:val="52"/>
          <w:szCs w:val="52"/>
        </w:rPr>
      </w:pPr>
      <w:r>
        <w:rPr>
          <w:rFonts w:ascii="Times New Roman" w:eastAsia="Times New Roman" w:hAnsi="Times New Roman" w:cs="Times New Roman"/>
          <w:b/>
          <w:color w:val="FFFFFF" w:themeColor="background1"/>
          <w:sz w:val="52"/>
          <w:szCs w:val="52"/>
        </w:rPr>
        <w:t>UK Code of Corporate Governance</w:t>
      </w:r>
    </w:p>
    <w:p w14:paraId="16D3E936" w14:textId="77777777" w:rsidR="000D248F" w:rsidRDefault="000D248F" w:rsidP="007536A1">
      <w:pPr>
        <w:spacing w:after="0" w:line="281" w:lineRule="auto"/>
        <w:ind w:left="-450"/>
        <w:rPr>
          <w:rFonts w:ascii="Times New Roman" w:eastAsia="Times New Roman" w:hAnsi="Times New Roman" w:cs="Times New Roman"/>
          <w:b/>
          <w:color w:val="FFFFFF" w:themeColor="background1"/>
          <w:sz w:val="52"/>
          <w:szCs w:val="52"/>
        </w:rPr>
      </w:pPr>
    </w:p>
    <w:p w14:paraId="42D277CD" w14:textId="5819B389" w:rsidR="0085133D" w:rsidRPr="00F05123" w:rsidRDefault="00705C57" w:rsidP="009615A4">
      <w:pPr>
        <w:spacing w:after="0" w:line="281" w:lineRule="auto"/>
        <w:rPr>
          <w:rFonts w:ascii="Times New Roman" w:hAnsi="Times New Roman" w:cs="Times New Roman"/>
          <w:color w:val="FFFFFF" w:themeColor="background1"/>
          <w:sz w:val="52"/>
          <w:szCs w:val="52"/>
        </w:rPr>
      </w:pPr>
      <w:bookmarkStart w:id="1" w:name="_GoBack"/>
      <w:bookmarkEnd w:id="1"/>
      <w:r w:rsidRPr="00F05123">
        <w:rPr>
          <w:rFonts w:ascii="Times New Roman" w:eastAsia="Times New Roman" w:hAnsi="Times New Roman" w:cs="Times New Roman"/>
          <w:b/>
          <w:color w:val="FFFFFF" w:themeColor="background1"/>
          <w:sz w:val="52"/>
          <w:szCs w:val="52"/>
        </w:rPr>
        <w:t xml:space="preserve">     </w:t>
      </w:r>
      <w:r w:rsidR="00450559" w:rsidRPr="00F05123">
        <w:rPr>
          <w:rFonts w:ascii="Times New Roman" w:hAnsi="Times New Roman" w:cs="Times New Roman"/>
          <w:noProof/>
        </w:rPr>
        <w:t xml:space="preserve"> </w:t>
      </w:r>
    </w:p>
    <w:p w14:paraId="1097E7BD" w14:textId="7173A19B" w:rsidR="0085133D" w:rsidRPr="00F05123" w:rsidRDefault="0085133D">
      <w:pPr>
        <w:rPr>
          <w:rFonts w:ascii="Times New Roman" w:hAnsi="Times New Roman" w:cs="Times New Roman"/>
          <w:b/>
          <w:bCs/>
          <w:sz w:val="24"/>
          <w:szCs w:val="24"/>
        </w:rPr>
      </w:pPr>
    </w:p>
    <w:p w14:paraId="61679D3D" w14:textId="3F38CDD9" w:rsidR="0085133D" w:rsidRPr="00F05123" w:rsidRDefault="0085133D">
      <w:pPr>
        <w:rPr>
          <w:rFonts w:ascii="Times New Roman" w:hAnsi="Times New Roman" w:cs="Times New Roman"/>
          <w:b/>
          <w:bCs/>
          <w:sz w:val="24"/>
          <w:szCs w:val="24"/>
        </w:rPr>
      </w:pPr>
    </w:p>
    <w:p w14:paraId="0AF75C32" w14:textId="0C172251" w:rsidR="00B779D4" w:rsidRPr="00F05123" w:rsidRDefault="00A223A8">
      <w:pPr>
        <w:rPr>
          <w:rFonts w:ascii="Times New Roman" w:hAnsi="Times New Roman" w:cs="Times New Roman"/>
          <w:noProof/>
        </w:rPr>
      </w:pPr>
      <w:r w:rsidRPr="00F05123">
        <w:rPr>
          <w:rFonts w:ascii="Times New Roman" w:hAnsi="Times New Roman" w:cs="Times New Roman"/>
          <w:noProof/>
        </w:rPr>
        <mc:AlternateContent>
          <mc:Choice Requires="wpg">
            <w:drawing>
              <wp:anchor distT="0" distB="0" distL="114300" distR="114300" simplePos="0" relativeHeight="251742208" behindDoc="0" locked="0" layoutInCell="1" allowOverlap="1" wp14:anchorId="361B6A0E" wp14:editId="43AA5FCC">
                <wp:simplePos x="0" y="0"/>
                <wp:positionH relativeFrom="margin">
                  <wp:posOffset>-473710</wp:posOffset>
                </wp:positionH>
                <wp:positionV relativeFrom="paragraph">
                  <wp:posOffset>193675</wp:posOffset>
                </wp:positionV>
                <wp:extent cx="5486400" cy="47625"/>
                <wp:effectExtent l="0" t="0" r="0" b="9525"/>
                <wp:wrapNone/>
                <wp:docPr id="53" name="Group 5"/>
                <wp:cNvGraphicFramePr/>
                <a:graphic xmlns:a="http://schemas.openxmlformats.org/drawingml/2006/main">
                  <a:graphicData uri="http://schemas.microsoft.com/office/word/2010/wordprocessingGroup">
                    <wpg:wgp>
                      <wpg:cNvGrpSpPr/>
                      <wpg:grpSpPr>
                        <a:xfrm flipV="1">
                          <a:off x="0" y="0"/>
                          <a:ext cx="5486400" cy="47625"/>
                          <a:chOff x="0" y="0"/>
                          <a:chExt cx="14480941" cy="173485"/>
                        </a:xfrm>
                      </wpg:grpSpPr>
                      <wps:wsp>
                        <wps:cNvPr id="54" name="Rectangle 54"/>
                        <wps:cNvSpPr/>
                        <wps:spPr>
                          <a:xfrm>
                            <a:off x="0" y="0"/>
                            <a:ext cx="2438400" cy="173485"/>
                          </a:xfrm>
                          <a:prstGeom prst="rect">
                            <a:avLst/>
                          </a:prstGeom>
                          <a:solidFill>
                            <a:srgbClr val="0F8BDA"/>
                          </a:solidFill>
                          <a:ln w="6350" cap="flat" cmpd="sng" algn="ctr">
                            <a:noFill/>
                            <a:prstDash val="solid"/>
                            <a:miter lim="800000"/>
                          </a:ln>
                          <a:effectLst/>
                        </wps:spPr>
                        <wps:bodyPr rtlCol="0" anchor="ctr"/>
                      </wps:wsp>
                      <wps:wsp>
                        <wps:cNvPr id="55" name="Rectangle 55"/>
                        <wps:cNvSpPr/>
                        <wps:spPr>
                          <a:xfrm>
                            <a:off x="2387600" y="0"/>
                            <a:ext cx="2438400" cy="173485"/>
                          </a:xfrm>
                          <a:prstGeom prst="rect">
                            <a:avLst/>
                          </a:prstGeom>
                          <a:solidFill>
                            <a:srgbClr val="6882A1"/>
                          </a:solidFill>
                          <a:ln w="6350" cap="flat" cmpd="sng" algn="ctr">
                            <a:noFill/>
                            <a:prstDash val="solid"/>
                            <a:miter lim="800000"/>
                          </a:ln>
                          <a:effectLst/>
                        </wps:spPr>
                        <wps:bodyPr rtlCol="0" anchor="ctr"/>
                      </wps:wsp>
                      <wps:wsp>
                        <wps:cNvPr id="56" name="Rectangle 56"/>
                        <wps:cNvSpPr/>
                        <wps:spPr>
                          <a:xfrm>
                            <a:off x="4826000" y="0"/>
                            <a:ext cx="2438400" cy="173485"/>
                          </a:xfrm>
                          <a:prstGeom prst="rect">
                            <a:avLst/>
                          </a:prstGeom>
                          <a:solidFill>
                            <a:srgbClr val="33D1AD"/>
                          </a:solidFill>
                          <a:ln w="6350" cap="flat" cmpd="sng" algn="ctr">
                            <a:noFill/>
                            <a:prstDash val="solid"/>
                            <a:miter lim="800000"/>
                          </a:ln>
                          <a:effectLst/>
                        </wps:spPr>
                        <wps:bodyPr rtlCol="0" anchor="ctr"/>
                      </wps:wsp>
                      <wps:wsp>
                        <wps:cNvPr id="57" name="Rectangle 57"/>
                        <wps:cNvSpPr/>
                        <wps:spPr>
                          <a:xfrm>
                            <a:off x="7213600" y="0"/>
                            <a:ext cx="2438400" cy="173485"/>
                          </a:xfrm>
                          <a:prstGeom prst="rect">
                            <a:avLst/>
                          </a:prstGeom>
                          <a:solidFill>
                            <a:srgbClr val="F29A15"/>
                          </a:solidFill>
                          <a:ln w="6350" cap="flat" cmpd="sng" algn="ctr">
                            <a:noFill/>
                            <a:prstDash val="solid"/>
                            <a:miter lim="800000"/>
                          </a:ln>
                          <a:effectLst/>
                        </wps:spPr>
                        <wps:bodyPr rtlCol="0" anchor="ctr"/>
                      </wps:wsp>
                      <wps:wsp>
                        <wps:cNvPr id="58" name="Rectangle 58"/>
                        <wps:cNvSpPr/>
                        <wps:spPr>
                          <a:xfrm>
                            <a:off x="9654941" y="0"/>
                            <a:ext cx="2438400" cy="173485"/>
                          </a:xfrm>
                          <a:prstGeom prst="rect">
                            <a:avLst/>
                          </a:prstGeom>
                          <a:solidFill>
                            <a:srgbClr val="91CE55"/>
                          </a:solidFill>
                          <a:ln w="6350" cap="flat" cmpd="sng" algn="ctr">
                            <a:noFill/>
                            <a:prstDash val="solid"/>
                            <a:miter lim="800000"/>
                          </a:ln>
                          <a:effectLst/>
                        </wps:spPr>
                        <wps:bodyPr rtlCol="0" anchor="ctr"/>
                      </wps:wsp>
                      <wps:wsp>
                        <wps:cNvPr id="59" name="Rectangle 59"/>
                        <wps:cNvSpPr/>
                        <wps:spPr>
                          <a:xfrm>
                            <a:off x="12042541" y="0"/>
                            <a:ext cx="2438400" cy="173485"/>
                          </a:xfrm>
                          <a:prstGeom prst="rect">
                            <a:avLst/>
                          </a:prstGeom>
                          <a:solidFill>
                            <a:srgbClr val="C9D1D7"/>
                          </a:solidFill>
                          <a:ln w="6350" cap="flat" cmpd="sng" algn="ctr">
                            <a:noFill/>
                            <a:prstDash val="solid"/>
                            <a:miter lim="800000"/>
                          </a:ln>
                          <a:effectLst/>
                        </wps:spPr>
                        <wps:bodyPr rtlCol="0" anchor="ct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05F364D" id="Group 5" o:spid="_x0000_s1026" style="position:absolute;margin-left:-37.3pt;margin-top:15.25pt;width:6in;height:3.75pt;flip:y;z-index:251742208;mso-position-horizontal-relative:margin;mso-width-relative:margin;mso-height-relative:margin" coordsize="144809,1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">
                <v:rect id="Rectangle 54" o:spid="_x0000_s1027" style="position:absolute;width:24384;height:1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" fillcolor="#0f8bda" stroked="f" strokeweight=".5pt"/>
                <v:rect id="Rectangle 55" o:spid="_x0000_s1028" style="position:absolute;left:23876;width:24384;height:1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" fillcolor="#6882a1" stroked="f" strokeweight=".5pt"/>
                <v:rect id="Rectangle 56" o:spid="_x0000_s1029" style="position:absolute;left:48260;width:24384;height:1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" fillcolor="#33d1ad" stroked="f" strokeweight=".5pt"/>
                <v:rect id="Rectangle 57" o:spid="_x0000_s1030" style="position:absolute;left:72136;width:24384;height:1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" fillcolor="#f29a15" stroked="f" strokeweight=".5pt"/>
                <v:rect id="Rectangle 58" o:spid="_x0000_s1031" style="position:absolute;left:96549;width:24384;height:1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" fillcolor="#91ce55" stroked="f" strokeweight=".5pt"/>
                <v:rect id="Rectangle 59" o:spid="_x0000_s1032" style="position:absolute;left:120425;width:24384;height:17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" fillcolor="#c9d1d7" stroked="f" strokeweight=".5pt"/>
                <w10:wrap anchorx="margin"/>
              </v:group>
            </w:pict>
          </mc:Fallback>
        </mc:AlternateContent>
      </w:r>
    </w:p>
    <w:p w14:paraId="2FEF7754" w14:textId="2964FFB2" w:rsidR="0092359B" w:rsidRPr="00F05123" w:rsidRDefault="0092359B">
      <w:pPr>
        <w:rPr>
          <w:rFonts w:ascii="Times New Roman" w:hAnsi="Times New Roman" w:cs="Times New Roman"/>
          <w:noProof/>
        </w:rPr>
      </w:pPr>
    </w:p>
    <w:p w14:paraId="2F9D3952" w14:textId="2EBFC28F" w:rsidR="0092359B" w:rsidRPr="00F05123" w:rsidRDefault="0092359B">
      <w:pPr>
        <w:rPr>
          <w:rFonts w:ascii="Times New Roman" w:hAnsi="Times New Roman" w:cs="Times New Roman"/>
          <w:noProof/>
        </w:rPr>
      </w:pPr>
    </w:p>
    <w:p w14:paraId="27DA8E60" w14:textId="52A12BB8" w:rsidR="0092359B" w:rsidRPr="00F05123" w:rsidRDefault="0092359B">
      <w:pPr>
        <w:rPr>
          <w:rFonts w:ascii="Times New Roman" w:hAnsi="Times New Roman" w:cs="Times New Roman"/>
          <w:noProof/>
        </w:rPr>
      </w:pPr>
    </w:p>
    <w:p w14:paraId="110685F9" w14:textId="424E61D2" w:rsidR="0092359B" w:rsidRPr="00F05123" w:rsidRDefault="0092359B">
      <w:pPr>
        <w:rPr>
          <w:rFonts w:ascii="Times New Roman" w:hAnsi="Times New Roman" w:cs="Times New Roman"/>
          <w:noProof/>
        </w:rPr>
      </w:pPr>
    </w:p>
    <w:p w14:paraId="540B9040" w14:textId="5AA9D4B8" w:rsidR="0092359B" w:rsidRPr="00F05123" w:rsidRDefault="0092359B">
      <w:pPr>
        <w:rPr>
          <w:rFonts w:ascii="Times New Roman" w:hAnsi="Times New Roman" w:cs="Times New Roman"/>
          <w:noProof/>
        </w:rPr>
      </w:pPr>
    </w:p>
    <w:p w14:paraId="40527F25" w14:textId="37E48249" w:rsidR="0092359B" w:rsidRPr="00F05123" w:rsidRDefault="0092359B">
      <w:pPr>
        <w:rPr>
          <w:rFonts w:ascii="Times New Roman" w:hAnsi="Times New Roman" w:cs="Times New Roman"/>
          <w:noProof/>
        </w:rPr>
      </w:pPr>
    </w:p>
    <w:p w14:paraId="54670E2C" w14:textId="77777777" w:rsidR="0092359B" w:rsidRPr="00F05123" w:rsidRDefault="0092359B">
      <w:pPr>
        <w:rPr>
          <w:rFonts w:ascii="Times New Roman" w:hAnsi="Times New Roman" w:cs="Times New Roman"/>
          <w:b/>
          <w:bCs/>
          <w:sz w:val="24"/>
          <w:szCs w:val="24"/>
        </w:rPr>
      </w:pPr>
    </w:p>
    <w:p w14:paraId="5742A025" w14:textId="77777777" w:rsidR="0085133D" w:rsidRPr="00F05123" w:rsidRDefault="0085133D">
      <w:pPr>
        <w:rPr>
          <w:rFonts w:ascii="Times New Roman" w:hAnsi="Times New Roman" w:cs="Times New Roman"/>
          <w:b/>
          <w:bCs/>
          <w:sz w:val="24"/>
          <w:szCs w:val="24"/>
        </w:rPr>
      </w:pPr>
    </w:p>
    <w:p w14:paraId="434FFD7F" w14:textId="77777777" w:rsidR="0085133D" w:rsidRPr="00F05123" w:rsidRDefault="0085133D">
      <w:pPr>
        <w:rPr>
          <w:rFonts w:ascii="Times New Roman" w:hAnsi="Times New Roman" w:cs="Times New Roman"/>
          <w:b/>
          <w:bCs/>
          <w:sz w:val="24"/>
          <w:szCs w:val="24"/>
        </w:rPr>
      </w:pPr>
    </w:p>
    <w:p w14:paraId="59E0C038" w14:textId="77777777" w:rsidR="0085133D" w:rsidRPr="00F05123" w:rsidRDefault="0085133D">
      <w:pPr>
        <w:rPr>
          <w:rFonts w:ascii="Times New Roman" w:hAnsi="Times New Roman" w:cs="Times New Roman"/>
          <w:b/>
          <w:bCs/>
          <w:sz w:val="24"/>
          <w:szCs w:val="24"/>
        </w:rPr>
      </w:pPr>
    </w:p>
    <w:p w14:paraId="586FA029" w14:textId="77777777" w:rsidR="0085133D" w:rsidRPr="00F05123" w:rsidRDefault="0085133D">
      <w:pPr>
        <w:rPr>
          <w:rFonts w:ascii="Times New Roman" w:hAnsi="Times New Roman" w:cs="Times New Roman"/>
          <w:b/>
          <w:bCs/>
          <w:sz w:val="24"/>
          <w:szCs w:val="24"/>
        </w:rPr>
      </w:pPr>
    </w:p>
    <w:p w14:paraId="7A9C2E92" w14:textId="77777777" w:rsidR="0085133D" w:rsidRPr="00F05123" w:rsidRDefault="0085133D">
      <w:pPr>
        <w:rPr>
          <w:rFonts w:ascii="Times New Roman" w:hAnsi="Times New Roman" w:cs="Times New Roman"/>
          <w:b/>
          <w:bCs/>
          <w:sz w:val="24"/>
          <w:szCs w:val="24"/>
        </w:rPr>
      </w:pPr>
    </w:p>
    <w:p w14:paraId="4B8CE237" w14:textId="539986A0" w:rsidR="007536A1" w:rsidRPr="00F05123" w:rsidRDefault="007536A1">
      <w:pPr>
        <w:rPr>
          <w:rFonts w:ascii="Times New Roman" w:hAnsi="Times New Roman" w:cs="Times New Roman"/>
          <w:b/>
          <w:bCs/>
          <w:sz w:val="24"/>
          <w:szCs w:val="24"/>
        </w:rPr>
      </w:pPr>
    </w:p>
    <w:sdt>
      <w:sdtPr>
        <w:rPr>
          <w:rFonts w:ascii="Times New Roman" w:hAnsi="Times New Roman" w:cs="Times New Roman"/>
          <w:b/>
          <w:bCs/>
        </w:rPr>
        <w:id w:val="-1852638053"/>
        <w:docPartObj>
          <w:docPartGallery w:val="Table of Contents"/>
        </w:docPartObj>
      </w:sdtPr>
      <w:sdtEndPr/>
      <w:sdtContent>
        <w:p w14:paraId="5E0F8C0C" w14:textId="6F54FECC" w:rsidR="00F72D2C" w:rsidRPr="000D248F" w:rsidRDefault="00F72D2C" w:rsidP="000D248F">
          <w:pPr>
            <w:spacing w:after="291"/>
            <w:ind w:left="-5" w:hanging="10"/>
            <w:jc w:val="center"/>
            <w:rPr>
              <w:rFonts w:ascii="Bahnschrift SemiBold" w:hAnsi="Bahnschrift SemiBold" w:cs="Times New Roman"/>
              <w:b/>
              <w:bCs/>
            </w:rPr>
          </w:pPr>
          <w:r w:rsidRPr="000D248F">
            <w:rPr>
              <w:rFonts w:ascii="Bahnschrift SemiBold" w:eastAsia="Times New Roman" w:hAnsi="Bahnschrift SemiBold" w:cs="Times New Roman"/>
              <w:b/>
              <w:bCs/>
            </w:rPr>
            <w:t>TABLE OF CONTENTS</w:t>
          </w:r>
        </w:p>
        <w:p w14:paraId="23BED3D5" w14:textId="7B9A272A" w:rsidR="000D248F" w:rsidRDefault="00F72D2C">
          <w:pPr>
            <w:pStyle w:val="TOC1"/>
            <w:rPr>
              <w:rFonts w:eastAsiaTheme="minorEastAsia"/>
              <w:b w:val="0"/>
              <w:bCs w:val="0"/>
            </w:rPr>
          </w:pPr>
          <w:r w:rsidRPr="000D248F">
            <w:rPr>
              <w:rFonts w:ascii="Bahnschrift SemiBold" w:eastAsia="Times New Roman" w:hAnsi="Bahnschrift SemiBold" w:cs="Times New Roman"/>
            </w:rPr>
            <w:fldChar w:fldCharType="begin"/>
          </w:r>
          <w:r w:rsidRPr="000D248F">
            <w:rPr>
              <w:rFonts w:ascii="Bahnschrift SemiBold" w:hAnsi="Bahnschrift SemiBold" w:cs="Times New Roman"/>
            </w:rPr>
            <w:instrText xml:space="preserve"> TOC \o "1-2" \h \z \u </w:instrText>
          </w:r>
          <w:r w:rsidRPr="000D248F">
            <w:rPr>
              <w:rFonts w:ascii="Bahnschrift SemiBold" w:eastAsia="Times New Roman" w:hAnsi="Bahnschrift SemiBold" w:cs="Times New Roman"/>
            </w:rPr>
            <w:fldChar w:fldCharType="separate"/>
          </w:r>
          <w:hyperlink w:anchor="_Toc100105018" w:history="1">
            <w:r w:rsidR="000D248F" w:rsidRPr="00972864">
              <w:rPr>
                <w:rStyle w:val="Hyperlink"/>
                <w:rFonts w:ascii="Bahnschrift SemiBold" w:hAnsi="Bahnschrift SemiBold" w:cs="Times New Roman"/>
              </w:rPr>
              <w:t>Question 1</w:t>
            </w:r>
            <w:r w:rsidR="000D248F">
              <w:rPr>
                <w:webHidden/>
              </w:rPr>
              <w:tab/>
            </w:r>
            <w:r w:rsidR="000D248F">
              <w:rPr>
                <w:webHidden/>
              </w:rPr>
              <w:fldChar w:fldCharType="begin"/>
            </w:r>
            <w:r w:rsidR="000D248F">
              <w:rPr>
                <w:webHidden/>
              </w:rPr>
              <w:instrText xml:space="preserve"> PAGEREF _Toc100105018 \h </w:instrText>
            </w:r>
            <w:r w:rsidR="000D248F">
              <w:rPr>
                <w:webHidden/>
              </w:rPr>
            </w:r>
            <w:r w:rsidR="000D248F">
              <w:rPr>
                <w:webHidden/>
              </w:rPr>
              <w:fldChar w:fldCharType="separate"/>
            </w:r>
            <w:r w:rsidR="000D248F">
              <w:rPr>
                <w:webHidden/>
              </w:rPr>
              <w:t>3</w:t>
            </w:r>
            <w:r w:rsidR="000D248F">
              <w:rPr>
                <w:webHidden/>
              </w:rPr>
              <w:fldChar w:fldCharType="end"/>
            </w:r>
          </w:hyperlink>
        </w:p>
        <w:p w14:paraId="6AD1695E" w14:textId="6B89AAE4" w:rsidR="000D248F" w:rsidRDefault="00CB21B8">
          <w:pPr>
            <w:pStyle w:val="TOC1"/>
            <w:rPr>
              <w:rFonts w:eastAsiaTheme="minorEastAsia"/>
              <w:b w:val="0"/>
              <w:bCs w:val="0"/>
            </w:rPr>
          </w:pPr>
          <w:hyperlink w:anchor="_Toc100105019" w:history="1">
            <w:r w:rsidR="000D248F" w:rsidRPr="00972864">
              <w:rPr>
                <w:rStyle w:val="Hyperlink"/>
                <w:rFonts w:ascii="Bahnschrift SemiBold" w:hAnsi="Bahnschrift SemiBold" w:cs="Times New Roman"/>
              </w:rPr>
              <w:t>Question 2</w:t>
            </w:r>
            <w:r w:rsidR="000D248F">
              <w:rPr>
                <w:webHidden/>
              </w:rPr>
              <w:tab/>
            </w:r>
            <w:r w:rsidR="000D248F">
              <w:rPr>
                <w:webHidden/>
              </w:rPr>
              <w:fldChar w:fldCharType="begin"/>
            </w:r>
            <w:r w:rsidR="000D248F">
              <w:rPr>
                <w:webHidden/>
              </w:rPr>
              <w:instrText xml:space="preserve"> PAGEREF _Toc100105019 \h </w:instrText>
            </w:r>
            <w:r w:rsidR="000D248F">
              <w:rPr>
                <w:webHidden/>
              </w:rPr>
            </w:r>
            <w:r w:rsidR="000D248F">
              <w:rPr>
                <w:webHidden/>
              </w:rPr>
              <w:fldChar w:fldCharType="separate"/>
            </w:r>
            <w:r w:rsidR="000D248F">
              <w:rPr>
                <w:webHidden/>
              </w:rPr>
              <w:t>5</w:t>
            </w:r>
            <w:r w:rsidR="000D248F">
              <w:rPr>
                <w:webHidden/>
              </w:rPr>
              <w:fldChar w:fldCharType="end"/>
            </w:r>
          </w:hyperlink>
        </w:p>
        <w:p w14:paraId="7EC436ED" w14:textId="5F11ECEE" w:rsidR="000D248F" w:rsidRDefault="00CB21B8">
          <w:pPr>
            <w:pStyle w:val="TOC1"/>
            <w:rPr>
              <w:rFonts w:eastAsiaTheme="minorEastAsia"/>
              <w:b w:val="0"/>
              <w:bCs w:val="0"/>
            </w:rPr>
          </w:pPr>
          <w:hyperlink w:anchor="_Toc100105020" w:history="1">
            <w:r w:rsidR="000D248F" w:rsidRPr="00972864">
              <w:rPr>
                <w:rStyle w:val="Hyperlink"/>
                <w:rFonts w:ascii="Bahnschrift SemiBold" w:hAnsi="Bahnschrift SemiBold" w:cs="Times New Roman"/>
              </w:rPr>
              <w:t>Question 3</w:t>
            </w:r>
            <w:r w:rsidR="000D248F">
              <w:rPr>
                <w:webHidden/>
              </w:rPr>
              <w:tab/>
            </w:r>
            <w:r w:rsidR="000D248F">
              <w:rPr>
                <w:webHidden/>
              </w:rPr>
              <w:fldChar w:fldCharType="begin"/>
            </w:r>
            <w:r w:rsidR="000D248F">
              <w:rPr>
                <w:webHidden/>
              </w:rPr>
              <w:instrText xml:space="preserve"> PAGEREF _Toc100105020 \h </w:instrText>
            </w:r>
            <w:r w:rsidR="000D248F">
              <w:rPr>
                <w:webHidden/>
              </w:rPr>
            </w:r>
            <w:r w:rsidR="000D248F">
              <w:rPr>
                <w:webHidden/>
              </w:rPr>
              <w:fldChar w:fldCharType="separate"/>
            </w:r>
            <w:r w:rsidR="000D248F">
              <w:rPr>
                <w:webHidden/>
              </w:rPr>
              <w:t>7</w:t>
            </w:r>
            <w:r w:rsidR="000D248F">
              <w:rPr>
                <w:webHidden/>
              </w:rPr>
              <w:fldChar w:fldCharType="end"/>
            </w:r>
          </w:hyperlink>
        </w:p>
        <w:p w14:paraId="487C24FF" w14:textId="26D79688" w:rsidR="000D248F" w:rsidRDefault="00CB21B8">
          <w:pPr>
            <w:pStyle w:val="TOC1"/>
            <w:rPr>
              <w:rFonts w:eastAsiaTheme="minorEastAsia"/>
              <w:b w:val="0"/>
              <w:bCs w:val="0"/>
            </w:rPr>
          </w:pPr>
          <w:hyperlink w:anchor="_Toc100105021" w:history="1">
            <w:r w:rsidR="000D248F" w:rsidRPr="00972864">
              <w:rPr>
                <w:rStyle w:val="Hyperlink"/>
                <w:rFonts w:ascii="Bahnschrift SemiBold" w:hAnsi="Bahnschrift SemiBold" w:cs="Times New Roman"/>
              </w:rPr>
              <w:t>Question 4</w:t>
            </w:r>
            <w:r w:rsidR="000D248F">
              <w:rPr>
                <w:webHidden/>
              </w:rPr>
              <w:tab/>
            </w:r>
            <w:r w:rsidR="000D248F">
              <w:rPr>
                <w:webHidden/>
              </w:rPr>
              <w:fldChar w:fldCharType="begin"/>
            </w:r>
            <w:r w:rsidR="000D248F">
              <w:rPr>
                <w:webHidden/>
              </w:rPr>
              <w:instrText xml:space="preserve"> PAGEREF _Toc100105021 \h </w:instrText>
            </w:r>
            <w:r w:rsidR="000D248F">
              <w:rPr>
                <w:webHidden/>
              </w:rPr>
            </w:r>
            <w:r w:rsidR="000D248F">
              <w:rPr>
                <w:webHidden/>
              </w:rPr>
              <w:fldChar w:fldCharType="separate"/>
            </w:r>
            <w:r w:rsidR="000D248F">
              <w:rPr>
                <w:webHidden/>
              </w:rPr>
              <w:t>9</w:t>
            </w:r>
            <w:r w:rsidR="000D248F">
              <w:rPr>
                <w:webHidden/>
              </w:rPr>
              <w:fldChar w:fldCharType="end"/>
            </w:r>
          </w:hyperlink>
        </w:p>
        <w:p w14:paraId="5DA43110" w14:textId="73168F4C" w:rsidR="000D248F" w:rsidRDefault="00CB21B8">
          <w:pPr>
            <w:pStyle w:val="TOC1"/>
            <w:rPr>
              <w:rFonts w:eastAsiaTheme="minorEastAsia"/>
              <w:b w:val="0"/>
              <w:bCs w:val="0"/>
            </w:rPr>
          </w:pPr>
          <w:hyperlink w:anchor="_Toc100105022" w:history="1">
            <w:r w:rsidR="000D248F" w:rsidRPr="00972864">
              <w:rPr>
                <w:rStyle w:val="Hyperlink"/>
                <w:rFonts w:ascii="Bahnschrift SemiBold" w:hAnsi="Bahnschrift SemiBold" w:cs="Times New Roman"/>
              </w:rPr>
              <w:t>References</w:t>
            </w:r>
            <w:r w:rsidR="000D248F">
              <w:rPr>
                <w:webHidden/>
              </w:rPr>
              <w:tab/>
            </w:r>
            <w:r w:rsidR="000D248F">
              <w:rPr>
                <w:webHidden/>
              </w:rPr>
              <w:fldChar w:fldCharType="begin"/>
            </w:r>
            <w:r w:rsidR="000D248F">
              <w:rPr>
                <w:webHidden/>
              </w:rPr>
              <w:instrText xml:space="preserve"> PAGEREF _Toc100105022 \h </w:instrText>
            </w:r>
            <w:r w:rsidR="000D248F">
              <w:rPr>
                <w:webHidden/>
              </w:rPr>
            </w:r>
            <w:r w:rsidR="000D248F">
              <w:rPr>
                <w:webHidden/>
              </w:rPr>
              <w:fldChar w:fldCharType="separate"/>
            </w:r>
            <w:r w:rsidR="000D248F">
              <w:rPr>
                <w:webHidden/>
              </w:rPr>
              <w:t>10</w:t>
            </w:r>
            <w:r w:rsidR="000D248F">
              <w:rPr>
                <w:webHidden/>
              </w:rPr>
              <w:fldChar w:fldCharType="end"/>
            </w:r>
          </w:hyperlink>
        </w:p>
        <w:p w14:paraId="606D2DF0" w14:textId="4A04585D" w:rsidR="00F72D2C" w:rsidRPr="00F05123" w:rsidRDefault="00F72D2C" w:rsidP="00F72D2C">
          <w:pPr>
            <w:rPr>
              <w:rFonts w:ascii="Times New Roman" w:hAnsi="Times New Roman" w:cs="Times New Roman"/>
              <w:sz w:val="24"/>
              <w:szCs w:val="24"/>
            </w:rPr>
          </w:pPr>
          <w:r w:rsidRPr="000D248F">
            <w:rPr>
              <w:rFonts w:ascii="Bahnschrift SemiBold" w:hAnsi="Bahnschrift SemiBold" w:cs="Times New Roman"/>
              <w:b/>
              <w:bCs/>
            </w:rPr>
            <w:fldChar w:fldCharType="end"/>
          </w:r>
        </w:p>
      </w:sdtContent>
    </w:sdt>
    <w:p w14:paraId="258FD37F" w14:textId="77777777" w:rsidR="00BA0BB9" w:rsidRPr="00F05123" w:rsidRDefault="00BA0BB9" w:rsidP="00DE6661">
      <w:pPr>
        <w:pStyle w:val="Heading1"/>
        <w:spacing w:line="480" w:lineRule="auto"/>
        <w:rPr>
          <w:rFonts w:ascii="Times New Roman" w:hAnsi="Times New Roman" w:cs="Times New Roman"/>
          <w:b/>
          <w:bCs/>
          <w:color w:val="000000" w:themeColor="text1"/>
          <w:sz w:val="24"/>
          <w:szCs w:val="24"/>
        </w:rPr>
      </w:pPr>
    </w:p>
    <w:p w14:paraId="4911E550" w14:textId="77777777" w:rsidR="00BA0BB9" w:rsidRPr="00F05123" w:rsidRDefault="00BA0BB9" w:rsidP="00DE6661">
      <w:pPr>
        <w:pStyle w:val="Heading1"/>
        <w:spacing w:line="480" w:lineRule="auto"/>
        <w:rPr>
          <w:rFonts w:ascii="Times New Roman" w:hAnsi="Times New Roman" w:cs="Times New Roman"/>
          <w:b/>
          <w:bCs/>
          <w:color w:val="000000" w:themeColor="text1"/>
          <w:sz w:val="24"/>
          <w:szCs w:val="24"/>
        </w:rPr>
      </w:pPr>
    </w:p>
    <w:p w14:paraId="14B7C7D7" w14:textId="77777777" w:rsidR="00BA0BB9" w:rsidRPr="00F05123" w:rsidRDefault="00BA0BB9" w:rsidP="00DE6661">
      <w:pPr>
        <w:pStyle w:val="Heading1"/>
        <w:spacing w:line="480" w:lineRule="auto"/>
        <w:rPr>
          <w:rFonts w:ascii="Times New Roman" w:hAnsi="Times New Roman" w:cs="Times New Roman"/>
          <w:b/>
          <w:bCs/>
          <w:color w:val="000000" w:themeColor="text1"/>
          <w:sz w:val="24"/>
          <w:szCs w:val="24"/>
        </w:rPr>
      </w:pPr>
    </w:p>
    <w:p w14:paraId="12EB4884" w14:textId="71CDFFBF" w:rsidR="00BA0BB9" w:rsidRDefault="00BA0BB9" w:rsidP="00DE6661">
      <w:pPr>
        <w:pStyle w:val="Heading1"/>
        <w:spacing w:line="480" w:lineRule="auto"/>
        <w:rPr>
          <w:rFonts w:ascii="Times New Roman" w:hAnsi="Times New Roman" w:cs="Times New Roman"/>
          <w:b/>
          <w:bCs/>
          <w:color w:val="000000" w:themeColor="text1"/>
          <w:sz w:val="24"/>
          <w:szCs w:val="24"/>
        </w:rPr>
      </w:pPr>
    </w:p>
    <w:p w14:paraId="06D92BF7" w14:textId="547853A8" w:rsidR="005A1A55" w:rsidRDefault="005A1A55" w:rsidP="005A1A55"/>
    <w:p w14:paraId="272E4553" w14:textId="35264D35" w:rsidR="005A1A55" w:rsidRDefault="005A1A55" w:rsidP="005A1A55"/>
    <w:p w14:paraId="196CABBE" w14:textId="7905686B" w:rsidR="005A1A55" w:rsidRDefault="005A1A55" w:rsidP="005A1A55"/>
    <w:p w14:paraId="5F83CD40" w14:textId="5E65FE2B" w:rsidR="005A1A55" w:rsidRDefault="005A1A55" w:rsidP="005A1A55"/>
    <w:p w14:paraId="09D4A35F" w14:textId="3D8C2EA1" w:rsidR="005A1A55" w:rsidRDefault="005A1A55" w:rsidP="005A1A55"/>
    <w:p w14:paraId="45E5BC64" w14:textId="1979235E" w:rsidR="005A1A55" w:rsidRDefault="005A1A55" w:rsidP="005A1A55"/>
    <w:p w14:paraId="574E9B39" w14:textId="7DA5BDE2" w:rsidR="005A1A55" w:rsidRDefault="005A1A55" w:rsidP="005A1A55"/>
    <w:p w14:paraId="5A7281AF" w14:textId="75E5F6B4" w:rsidR="005A1A55" w:rsidRDefault="005A1A55" w:rsidP="005A1A55"/>
    <w:p w14:paraId="12365952" w14:textId="4A0D5111" w:rsidR="005A1A55" w:rsidRDefault="005A1A55" w:rsidP="005A1A55"/>
    <w:p w14:paraId="7BEBCE71" w14:textId="205BBA04" w:rsidR="005A1A55" w:rsidRDefault="005A1A55" w:rsidP="005A1A55"/>
    <w:p w14:paraId="79FBF3C1" w14:textId="77777777" w:rsidR="005A1A55" w:rsidRPr="005A1A55" w:rsidRDefault="005A1A55" w:rsidP="005A1A55"/>
    <w:p w14:paraId="3D3D0946" w14:textId="1B804FEF" w:rsidR="00BA0BB9" w:rsidRDefault="00BA0BB9" w:rsidP="00BA0BB9">
      <w:pPr>
        <w:rPr>
          <w:rFonts w:ascii="Times New Roman" w:hAnsi="Times New Roman" w:cs="Times New Roman"/>
        </w:rPr>
      </w:pPr>
    </w:p>
    <w:p w14:paraId="24874337" w14:textId="074D5AC6" w:rsidR="00FF4FE1" w:rsidRDefault="00FF4FE1" w:rsidP="00BA0BB9">
      <w:pPr>
        <w:rPr>
          <w:rFonts w:ascii="Times New Roman" w:hAnsi="Times New Roman" w:cs="Times New Roman"/>
        </w:rPr>
      </w:pPr>
    </w:p>
    <w:p w14:paraId="3DA024D0" w14:textId="26D3F726" w:rsidR="00750E75" w:rsidRDefault="00750E75" w:rsidP="00BA0BB9">
      <w:pPr>
        <w:rPr>
          <w:rFonts w:ascii="Times New Roman" w:hAnsi="Times New Roman" w:cs="Times New Roman"/>
        </w:rPr>
      </w:pPr>
    </w:p>
    <w:p w14:paraId="2CBD4140" w14:textId="77777777" w:rsidR="00750E75" w:rsidRPr="00F05123" w:rsidRDefault="00750E75" w:rsidP="00BA0BB9">
      <w:pPr>
        <w:rPr>
          <w:rFonts w:ascii="Times New Roman" w:hAnsi="Times New Roman" w:cs="Times New Roman"/>
        </w:rPr>
      </w:pPr>
    </w:p>
    <w:p w14:paraId="5F3AC302" w14:textId="5E5877F7" w:rsidR="00964EE5" w:rsidRDefault="00964EE5" w:rsidP="00BA0BB9">
      <w:pPr>
        <w:rPr>
          <w:rFonts w:ascii="Times New Roman" w:hAnsi="Times New Roman" w:cs="Times New Roman"/>
        </w:rPr>
      </w:pPr>
    </w:p>
    <w:p w14:paraId="02FF39FE" w14:textId="77777777" w:rsidR="008E1AA9" w:rsidRPr="00F05123" w:rsidRDefault="008E1AA9" w:rsidP="00BA0BB9">
      <w:pPr>
        <w:rPr>
          <w:rFonts w:ascii="Times New Roman" w:hAnsi="Times New Roman" w:cs="Times New Roman"/>
        </w:rPr>
      </w:pPr>
    </w:p>
    <w:p w14:paraId="03973690" w14:textId="05D21ADD" w:rsidR="00711252" w:rsidRPr="00D37596" w:rsidRDefault="00D9274B" w:rsidP="00D37596">
      <w:pPr>
        <w:pStyle w:val="Heading1"/>
        <w:pBdr>
          <w:bottom w:val="single" w:sz="18" w:space="1" w:color="000000" w:themeColor="text1"/>
        </w:pBdr>
        <w:spacing w:after="240" w:line="276" w:lineRule="auto"/>
        <w:rPr>
          <w:rFonts w:ascii="Bahnschrift SemiBold" w:hAnsi="Bahnschrift SemiBold" w:cs="Times New Roman"/>
          <w:b/>
          <w:bCs/>
          <w:color w:val="000000" w:themeColor="text1"/>
          <w:sz w:val="28"/>
          <w:szCs w:val="24"/>
        </w:rPr>
      </w:pPr>
      <w:bookmarkStart w:id="2" w:name="_Toc100105018"/>
      <w:r w:rsidRPr="00D37596">
        <w:rPr>
          <w:rFonts w:ascii="Bahnschrift SemiBold" w:hAnsi="Bahnschrift SemiBold" w:cs="Times New Roman"/>
          <w:b/>
          <w:bCs/>
          <w:color w:val="000000" w:themeColor="text1"/>
          <w:sz w:val="28"/>
          <w:szCs w:val="24"/>
        </w:rPr>
        <w:t>Question 1</w:t>
      </w:r>
      <w:bookmarkEnd w:id="2"/>
    </w:p>
    <w:p w14:paraId="559804B2" w14:textId="6CD65890" w:rsidR="009A6E38" w:rsidRDefault="000A14C0"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UK code of corporate governance became applicable from reporting periods beginning on or after January 1, 2019. It lays principals of corporate governance framework to be followed by listed companies. As disclosed in the 2021 annual report, Tesco has consistently applied the provisions of the code with a few exceptions. The extent of application of the code is </w:t>
      </w:r>
      <w:r w:rsidR="00B76FC8">
        <w:rPr>
          <w:rFonts w:ascii="Times New Roman" w:hAnsi="Times New Roman" w:cs="Times New Roman"/>
          <w:sz w:val="24"/>
          <w:szCs w:val="24"/>
        </w:rPr>
        <w:t>critically</w:t>
      </w:r>
      <w:r>
        <w:rPr>
          <w:rFonts w:ascii="Times New Roman" w:hAnsi="Times New Roman" w:cs="Times New Roman"/>
          <w:sz w:val="24"/>
          <w:szCs w:val="24"/>
        </w:rPr>
        <w:t xml:space="preserve"> discussed below:</w:t>
      </w:r>
      <w:r w:rsidR="000D248F">
        <w:rPr>
          <w:rFonts w:ascii="Times New Roman" w:hAnsi="Times New Roman" w:cs="Times New Roman"/>
          <w:sz w:val="24"/>
          <w:szCs w:val="24"/>
        </w:rPr>
        <w:t xml:space="preserve"> </w:t>
      </w:r>
    </w:p>
    <w:p w14:paraId="2A789467" w14:textId="0FEB0CC6" w:rsidR="000A14C0" w:rsidRDefault="00554135" w:rsidP="00FF4FE1">
      <w:pPr>
        <w:spacing w:line="360" w:lineRule="auto"/>
        <w:jc w:val="both"/>
        <w:rPr>
          <w:rFonts w:ascii="Times New Roman" w:hAnsi="Times New Roman" w:cs="Times New Roman"/>
          <w:b/>
          <w:bCs/>
          <w:sz w:val="24"/>
          <w:szCs w:val="24"/>
        </w:rPr>
      </w:pPr>
      <w:r w:rsidRPr="00554135">
        <w:rPr>
          <w:rFonts w:ascii="Times New Roman" w:hAnsi="Times New Roman" w:cs="Times New Roman"/>
          <w:b/>
          <w:bCs/>
          <w:sz w:val="24"/>
          <w:szCs w:val="24"/>
        </w:rPr>
        <w:t>Board Leadership and Company Purpose</w:t>
      </w:r>
      <w:r>
        <w:rPr>
          <w:rFonts w:ascii="Times New Roman" w:hAnsi="Times New Roman" w:cs="Times New Roman"/>
          <w:b/>
          <w:bCs/>
          <w:sz w:val="24"/>
          <w:szCs w:val="24"/>
        </w:rPr>
        <w:t>:</w:t>
      </w:r>
    </w:p>
    <w:p w14:paraId="4755B4BD" w14:textId="7AE1D8F0" w:rsidR="00554135" w:rsidRDefault="00B76FC8"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company has appointed members on its board of directors who are committed to promote the long term sustainable success of the company. All the matters of strategic, financial or reputational significance are referred to the board and given due attention at board meetings. The responsibility for setting long term strategic goals, purpose and value of the company also rests with the board. Board has been given the responsibility for ensuring the availability of resources for meeting objectives and implementation of strategy. </w:t>
      </w:r>
      <w:r w:rsidR="0054600A">
        <w:rPr>
          <w:rFonts w:ascii="Times New Roman" w:hAnsi="Times New Roman" w:cs="Times New Roman"/>
          <w:sz w:val="24"/>
          <w:szCs w:val="24"/>
        </w:rPr>
        <w:t xml:space="preserve">Tesco has ensured that effective internal control system are implemented for efficient internal reporting and effective oversight of risk management. </w:t>
      </w:r>
      <w:sdt>
        <w:sdtPr>
          <w:rPr>
            <w:rFonts w:ascii="Times New Roman" w:hAnsi="Times New Roman" w:cs="Times New Roman"/>
            <w:sz w:val="24"/>
            <w:szCs w:val="24"/>
          </w:rPr>
          <w:id w:val="-1619602001"/>
          <w:citation/>
        </w:sdtPr>
        <w:sdtEndPr/>
        <w:sdtContent>
          <w:r w:rsidR="00D37596">
            <w:rPr>
              <w:rFonts w:ascii="Times New Roman" w:hAnsi="Times New Roman" w:cs="Times New Roman"/>
              <w:sz w:val="24"/>
              <w:szCs w:val="24"/>
            </w:rPr>
            <w:fldChar w:fldCharType="begin"/>
          </w:r>
          <w:r w:rsidR="00D37596">
            <w:rPr>
              <w:rFonts w:ascii="Times New Roman" w:hAnsi="Times New Roman" w:cs="Times New Roman"/>
              <w:sz w:val="24"/>
              <w:szCs w:val="24"/>
            </w:rPr>
            <w:instrText xml:space="preserve"> CITATION Tes211 \l 1033 </w:instrText>
          </w:r>
          <w:r w:rsidR="00D37596">
            <w:rPr>
              <w:rFonts w:ascii="Times New Roman" w:hAnsi="Times New Roman" w:cs="Times New Roman"/>
              <w:sz w:val="24"/>
              <w:szCs w:val="24"/>
            </w:rPr>
            <w:fldChar w:fldCharType="separate"/>
          </w:r>
          <w:r w:rsidR="00D37596" w:rsidRPr="00D37596">
            <w:rPr>
              <w:rFonts w:ascii="Times New Roman" w:hAnsi="Times New Roman" w:cs="Times New Roman"/>
              <w:noProof/>
              <w:sz w:val="24"/>
              <w:szCs w:val="24"/>
            </w:rPr>
            <w:t>(Tesco, 2021)</w:t>
          </w:r>
          <w:r w:rsidR="00D37596">
            <w:rPr>
              <w:rFonts w:ascii="Times New Roman" w:hAnsi="Times New Roman" w:cs="Times New Roman"/>
              <w:sz w:val="24"/>
              <w:szCs w:val="24"/>
            </w:rPr>
            <w:fldChar w:fldCharType="end"/>
          </w:r>
        </w:sdtContent>
      </w:sdt>
    </w:p>
    <w:p w14:paraId="476B640B" w14:textId="664A7F0F" w:rsidR="0054600A" w:rsidRDefault="0054600A"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Another key principle covered under this chapter of the code relates to effective engagement with stakeholders. The protects interests of key stakeholders at all levels by listening to and understanding needs of stakeholders at meetings. Compensation structure is, in part, linked with achievement of performance targets, which ensures that maximum value is delivered to stakeholders. Another initiative undertaken for engagement is the company’s Little Helps Plan, which is aimed at addressing the most pressing social and environmental challenges. Many other corporate social responsibility initiatives are also underway.</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948276034"/>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Ann201 \l 1033 </w:instrText>
          </w:r>
          <w:r w:rsidR="00DB3199">
            <w:rPr>
              <w:rFonts w:ascii="Times New Roman" w:hAnsi="Times New Roman" w:cs="Times New Roman"/>
              <w:sz w:val="24"/>
              <w:szCs w:val="24"/>
            </w:rPr>
            <w:fldChar w:fldCharType="separate"/>
          </w:r>
          <w:r w:rsidR="00DB3199" w:rsidRPr="00DB3199">
            <w:rPr>
              <w:rFonts w:ascii="Times New Roman" w:hAnsi="Times New Roman" w:cs="Times New Roman"/>
              <w:noProof/>
              <w:sz w:val="24"/>
              <w:szCs w:val="24"/>
            </w:rPr>
            <w:t>(Ramalho, 2020)</w:t>
          </w:r>
          <w:r w:rsidR="00DB3199">
            <w:rPr>
              <w:rFonts w:ascii="Times New Roman" w:hAnsi="Times New Roman" w:cs="Times New Roman"/>
              <w:sz w:val="24"/>
              <w:szCs w:val="24"/>
            </w:rPr>
            <w:fldChar w:fldCharType="end"/>
          </w:r>
        </w:sdtContent>
      </w:sdt>
    </w:p>
    <w:p w14:paraId="6D87E99C" w14:textId="21E56891" w:rsidR="000240A0" w:rsidRDefault="000240A0"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The final principle in this chapter relates with alignment of workforce polices with organizational values and long term success. A formal code of conduct is designed to align the conduct of employees in line with the business objectives and values. Whistleblowing policy and protector line is introduced for reporting, to the board, any breaches of the code of conduct. The Group Risk and Compliance committee also overseas this function and presents its findings to the board.</w:t>
      </w:r>
      <w:sdt>
        <w:sdtPr>
          <w:rPr>
            <w:rFonts w:ascii="Times New Roman" w:hAnsi="Times New Roman" w:cs="Times New Roman"/>
            <w:sz w:val="24"/>
            <w:szCs w:val="24"/>
          </w:rPr>
          <w:id w:val="-715202850"/>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ICA201 \l 1033 </w:instrText>
          </w:r>
          <w:r w:rsidR="00DB3199">
            <w:rPr>
              <w:rFonts w:ascii="Times New Roman" w:hAnsi="Times New Roman" w:cs="Times New Roman"/>
              <w:sz w:val="24"/>
              <w:szCs w:val="24"/>
            </w:rPr>
            <w:fldChar w:fldCharType="separate"/>
          </w:r>
          <w:r w:rsidR="00DB3199">
            <w:rPr>
              <w:rFonts w:ascii="Times New Roman" w:hAnsi="Times New Roman" w:cs="Times New Roman"/>
              <w:noProof/>
              <w:sz w:val="24"/>
              <w:szCs w:val="24"/>
            </w:rPr>
            <w:t xml:space="preserve"> </w:t>
          </w:r>
          <w:r w:rsidR="00DB3199" w:rsidRPr="00DB3199">
            <w:rPr>
              <w:rFonts w:ascii="Times New Roman" w:hAnsi="Times New Roman" w:cs="Times New Roman"/>
              <w:noProof/>
              <w:sz w:val="24"/>
              <w:szCs w:val="24"/>
            </w:rPr>
            <w:t>(ICAEW, 2020)</w:t>
          </w:r>
          <w:r w:rsidR="00DB3199">
            <w:rPr>
              <w:rFonts w:ascii="Times New Roman" w:hAnsi="Times New Roman" w:cs="Times New Roman"/>
              <w:sz w:val="24"/>
              <w:szCs w:val="24"/>
            </w:rPr>
            <w:fldChar w:fldCharType="end"/>
          </w:r>
        </w:sdtContent>
      </w:sdt>
    </w:p>
    <w:p w14:paraId="69DB1FCD" w14:textId="77777777" w:rsidR="00D37596" w:rsidRDefault="00D37596" w:rsidP="00FF4FE1">
      <w:pPr>
        <w:spacing w:line="360" w:lineRule="auto"/>
        <w:jc w:val="both"/>
        <w:rPr>
          <w:rFonts w:ascii="Times New Roman" w:hAnsi="Times New Roman" w:cs="Times New Roman"/>
          <w:b/>
          <w:bCs/>
          <w:sz w:val="24"/>
          <w:szCs w:val="24"/>
        </w:rPr>
      </w:pPr>
    </w:p>
    <w:p w14:paraId="68F6745C" w14:textId="77777777" w:rsidR="00D37596" w:rsidRDefault="00D37596" w:rsidP="00FF4FE1">
      <w:pPr>
        <w:spacing w:line="360" w:lineRule="auto"/>
        <w:jc w:val="both"/>
        <w:rPr>
          <w:rFonts w:ascii="Times New Roman" w:hAnsi="Times New Roman" w:cs="Times New Roman"/>
          <w:b/>
          <w:bCs/>
          <w:sz w:val="24"/>
          <w:szCs w:val="24"/>
        </w:rPr>
      </w:pPr>
    </w:p>
    <w:p w14:paraId="35426451" w14:textId="732837ED" w:rsidR="00C00181" w:rsidRDefault="00C00181" w:rsidP="00FF4FE1">
      <w:pPr>
        <w:spacing w:line="360" w:lineRule="auto"/>
        <w:jc w:val="both"/>
        <w:rPr>
          <w:rFonts w:ascii="Times New Roman" w:hAnsi="Times New Roman" w:cs="Times New Roman"/>
          <w:b/>
          <w:bCs/>
          <w:sz w:val="24"/>
          <w:szCs w:val="24"/>
        </w:rPr>
      </w:pPr>
      <w:r w:rsidRPr="00C00181">
        <w:rPr>
          <w:rFonts w:ascii="Times New Roman" w:hAnsi="Times New Roman" w:cs="Times New Roman"/>
          <w:b/>
          <w:bCs/>
          <w:sz w:val="24"/>
          <w:szCs w:val="24"/>
        </w:rPr>
        <w:t>Division of Responsibilities</w:t>
      </w:r>
      <w:r>
        <w:rPr>
          <w:rFonts w:ascii="Times New Roman" w:hAnsi="Times New Roman" w:cs="Times New Roman"/>
          <w:b/>
          <w:bCs/>
          <w:sz w:val="24"/>
          <w:szCs w:val="24"/>
        </w:rPr>
        <w:t>:</w:t>
      </w:r>
    </w:p>
    <w:p w14:paraId="07FF3B85" w14:textId="1665E2DB" w:rsidR="00C00181" w:rsidRDefault="00C00181"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A formal role statement for the Chairman and Group Chief Executive is also disclosed in the annual report, which highlights the key responsibilities, in relation to corporate governance, including providing effective leadership</w:t>
      </w:r>
      <w:r w:rsidR="00B54E30">
        <w:rPr>
          <w:rFonts w:ascii="Times New Roman" w:hAnsi="Times New Roman" w:cs="Times New Roman"/>
          <w:sz w:val="24"/>
          <w:szCs w:val="24"/>
        </w:rPr>
        <w:t xml:space="preserve">, ensuring that accurate and up to date information is available for </w:t>
      </w:r>
      <w:r w:rsidR="00461225">
        <w:rPr>
          <w:rFonts w:ascii="Times New Roman" w:hAnsi="Times New Roman" w:cs="Times New Roman"/>
          <w:sz w:val="24"/>
          <w:szCs w:val="24"/>
        </w:rPr>
        <w:t xml:space="preserve">executive </w:t>
      </w:r>
      <w:r w:rsidR="00B54E30">
        <w:rPr>
          <w:rFonts w:ascii="Times New Roman" w:hAnsi="Times New Roman" w:cs="Times New Roman"/>
          <w:sz w:val="24"/>
          <w:szCs w:val="24"/>
        </w:rPr>
        <w:t>decision making</w:t>
      </w:r>
      <w:r>
        <w:rPr>
          <w:rFonts w:ascii="Times New Roman" w:hAnsi="Times New Roman" w:cs="Times New Roman"/>
          <w:sz w:val="24"/>
          <w:szCs w:val="24"/>
        </w:rPr>
        <w:t xml:space="preserve"> and maintaining </w:t>
      </w:r>
      <w:r w:rsidR="00B54E30">
        <w:rPr>
          <w:rFonts w:ascii="Times New Roman" w:hAnsi="Times New Roman" w:cs="Times New Roman"/>
          <w:sz w:val="24"/>
          <w:szCs w:val="24"/>
        </w:rPr>
        <w:t xml:space="preserve">conducive environment at the board meetings so that all the directors can engage in healthy dialogue and contribute to the discussion. </w:t>
      </w:r>
      <w:sdt>
        <w:sdtPr>
          <w:rPr>
            <w:rFonts w:ascii="Times New Roman" w:hAnsi="Times New Roman" w:cs="Times New Roman"/>
            <w:sz w:val="24"/>
            <w:szCs w:val="24"/>
          </w:rPr>
          <w:id w:val="-344554377"/>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Tes211 \l 1033 </w:instrText>
          </w:r>
          <w:r w:rsidR="00DB3199">
            <w:rPr>
              <w:rFonts w:ascii="Times New Roman" w:hAnsi="Times New Roman" w:cs="Times New Roman"/>
              <w:sz w:val="24"/>
              <w:szCs w:val="24"/>
            </w:rPr>
            <w:fldChar w:fldCharType="separate"/>
          </w:r>
          <w:r w:rsidR="00DB3199" w:rsidRPr="00D37596">
            <w:rPr>
              <w:rFonts w:ascii="Times New Roman" w:hAnsi="Times New Roman" w:cs="Times New Roman"/>
              <w:noProof/>
              <w:sz w:val="24"/>
              <w:szCs w:val="24"/>
            </w:rPr>
            <w:t>(Tesco, 2021)</w:t>
          </w:r>
          <w:r w:rsidR="00DB3199">
            <w:rPr>
              <w:rFonts w:ascii="Times New Roman" w:hAnsi="Times New Roman" w:cs="Times New Roman"/>
              <w:sz w:val="24"/>
              <w:szCs w:val="24"/>
            </w:rPr>
            <w:fldChar w:fldCharType="end"/>
          </w:r>
        </w:sdtContent>
      </w:sdt>
    </w:p>
    <w:p w14:paraId="058ABBAE" w14:textId="5651A4A0" w:rsidR="00461225" w:rsidRDefault="00461225"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Board of the company is composed of </w:t>
      </w:r>
      <w:r w:rsidR="00124171">
        <w:rPr>
          <w:rFonts w:ascii="Times New Roman" w:hAnsi="Times New Roman" w:cs="Times New Roman"/>
          <w:sz w:val="24"/>
          <w:szCs w:val="24"/>
        </w:rPr>
        <w:t xml:space="preserve">13 directors, each of them brings a set of skills and experience to ensure that there is a balance of skills. Currently, the board is operating with ten </w:t>
      </w:r>
      <w:r w:rsidR="00D37596">
        <w:rPr>
          <w:rFonts w:ascii="Times New Roman" w:hAnsi="Times New Roman" w:cs="Times New Roman"/>
          <w:sz w:val="24"/>
          <w:szCs w:val="24"/>
        </w:rPr>
        <w:t>non-executive</w:t>
      </w:r>
      <w:r w:rsidR="00124171">
        <w:rPr>
          <w:rFonts w:ascii="Times New Roman" w:hAnsi="Times New Roman" w:cs="Times New Roman"/>
          <w:sz w:val="24"/>
          <w:szCs w:val="24"/>
        </w:rPr>
        <w:t xml:space="preserve"> independent directors. The roles of group chief executive, </w:t>
      </w:r>
      <w:r w:rsidR="00D37596">
        <w:rPr>
          <w:rFonts w:ascii="Times New Roman" w:hAnsi="Times New Roman" w:cs="Times New Roman"/>
          <w:sz w:val="24"/>
          <w:szCs w:val="24"/>
        </w:rPr>
        <w:t>non-executive</w:t>
      </w:r>
      <w:r w:rsidR="00124171">
        <w:rPr>
          <w:rFonts w:ascii="Times New Roman" w:hAnsi="Times New Roman" w:cs="Times New Roman"/>
          <w:sz w:val="24"/>
          <w:szCs w:val="24"/>
        </w:rPr>
        <w:t xml:space="preserve"> directors and committees is specified and disclosed in separate role statements. </w:t>
      </w:r>
      <w:r w:rsidR="00816E45">
        <w:rPr>
          <w:rFonts w:ascii="Times New Roman" w:hAnsi="Times New Roman" w:cs="Times New Roman"/>
          <w:sz w:val="24"/>
          <w:szCs w:val="24"/>
        </w:rPr>
        <w:t xml:space="preserve">The Nominations and Governance committee is required to regularly review the composition, balance of skills and experience of the board members. </w:t>
      </w:r>
      <w:sdt>
        <w:sdtPr>
          <w:rPr>
            <w:rFonts w:ascii="Times New Roman" w:hAnsi="Times New Roman" w:cs="Times New Roman"/>
            <w:sz w:val="24"/>
            <w:szCs w:val="24"/>
          </w:rPr>
          <w:id w:val="1600608119"/>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Rob20 \l 1033 </w:instrText>
          </w:r>
          <w:r w:rsidR="00DB3199">
            <w:rPr>
              <w:rFonts w:ascii="Times New Roman" w:hAnsi="Times New Roman" w:cs="Times New Roman"/>
              <w:sz w:val="24"/>
              <w:szCs w:val="24"/>
            </w:rPr>
            <w:fldChar w:fldCharType="separate"/>
          </w:r>
          <w:r w:rsidR="00DB3199" w:rsidRPr="00DB3199">
            <w:rPr>
              <w:rFonts w:ascii="Times New Roman" w:hAnsi="Times New Roman" w:cs="Times New Roman"/>
              <w:noProof/>
              <w:sz w:val="24"/>
              <w:szCs w:val="24"/>
            </w:rPr>
            <w:t>(Roberts, 2020)</w:t>
          </w:r>
          <w:r w:rsidR="00DB3199">
            <w:rPr>
              <w:rFonts w:ascii="Times New Roman" w:hAnsi="Times New Roman" w:cs="Times New Roman"/>
              <w:sz w:val="24"/>
              <w:szCs w:val="24"/>
            </w:rPr>
            <w:fldChar w:fldCharType="end"/>
          </w:r>
        </w:sdtContent>
      </w:sdt>
    </w:p>
    <w:p w14:paraId="04A83209" w14:textId="03696C74" w:rsidR="00816E45" w:rsidRDefault="00816E45"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Appointment of </w:t>
      </w:r>
      <w:r w:rsidR="00D37596">
        <w:rPr>
          <w:rFonts w:ascii="Times New Roman" w:hAnsi="Times New Roman" w:cs="Times New Roman"/>
          <w:sz w:val="24"/>
          <w:szCs w:val="24"/>
        </w:rPr>
        <w:t>non-executive</w:t>
      </w:r>
      <w:r>
        <w:rPr>
          <w:rFonts w:ascii="Times New Roman" w:hAnsi="Times New Roman" w:cs="Times New Roman"/>
          <w:sz w:val="24"/>
          <w:szCs w:val="24"/>
        </w:rPr>
        <w:t xml:space="preserve"> directors serves many purposes, including constrictively challenging the proposals of executive directors, bringing experience and insight and scrutinizing performance. Nominations and governance committee is given the responsibility to access whether each </w:t>
      </w:r>
      <w:r w:rsidR="00D37596">
        <w:rPr>
          <w:rFonts w:ascii="Times New Roman" w:hAnsi="Times New Roman" w:cs="Times New Roman"/>
          <w:sz w:val="24"/>
          <w:szCs w:val="24"/>
        </w:rPr>
        <w:t>non-executive</w:t>
      </w:r>
      <w:r>
        <w:rPr>
          <w:rFonts w:ascii="Times New Roman" w:hAnsi="Times New Roman" w:cs="Times New Roman"/>
          <w:sz w:val="24"/>
          <w:szCs w:val="24"/>
        </w:rPr>
        <w:t xml:space="preserve"> director possess the required experience and skills and is able to allocate the required time to pressing matters.</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824047104"/>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Del21 \l 1033 </w:instrText>
          </w:r>
          <w:r w:rsidR="00DB3199">
            <w:rPr>
              <w:rFonts w:ascii="Times New Roman" w:hAnsi="Times New Roman" w:cs="Times New Roman"/>
              <w:sz w:val="24"/>
              <w:szCs w:val="24"/>
            </w:rPr>
            <w:fldChar w:fldCharType="separate"/>
          </w:r>
          <w:r w:rsidR="00DB3199" w:rsidRPr="00DB3199">
            <w:rPr>
              <w:rFonts w:ascii="Times New Roman" w:hAnsi="Times New Roman" w:cs="Times New Roman"/>
              <w:noProof/>
              <w:sz w:val="24"/>
              <w:szCs w:val="24"/>
            </w:rPr>
            <w:t>(Delloitte, 2021)</w:t>
          </w:r>
          <w:r w:rsidR="00DB3199">
            <w:rPr>
              <w:rFonts w:ascii="Times New Roman" w:hAnsi="Times New Roman" w:cs="Times New Roman"/>
              <w:sz w:val="24"/>
              <w:szCs w:val="24"/>
            </w:rPr>
            <w:fldChar w:fldCharType="end"/>
          </w:r>
        </w:sdtContent>
      </w:sdt>
    </w:p>
    <w:p w14:paraId="671B0482" w14:textId="0BB65DEB" w:rsidR="00816E45" w:rsidRDefault="00816E45"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Company secretary is appointed to ensure the smooth functioning of the board. His responsibilities include ensuring availability of time, information and resources required by the board of directors. He also </w:t>
      </w:r>
      <w:proofErr w:type="gramStart"/>
      <w:r>
        <w:rPr>
          <w:rFonts w:ascii="Times New Roman" w:hAnsi="Times New Roman" w:cs="Times New Roman"/>
          <w:sz w:val="24"/>
          <w:szCs w:val="24"/>
        </w:rPr>
        <w:t>look</w:t>
      </w:r>
      <w:proofErr w:type="gramEnd"/>
      <w:r>
        <w:rPr>
          <w:rFonts w:ascii="Times New Roman" w:hAnsi="Times New Roman" w:cs="Times New Roman"/>
          <w:sz w:val="24"/>
          <w:szCs w:val="24"/>
        </w:rPr>
        <w:t xml:space="preserve"> after other secretarial functions such as advising on governance matters, facilitating on induction of new directors and advising on legal and regulatory matters.</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1492944708"/>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Tes211 \l 1033 </w:instrText>
          </w:r>
          <w:r w:rsidR="00DB3199">
            <w:rPr>
              <w:rFonts w:ascii="Times New Roman" w:hAnsi="Times New Roman" w:cs="Times New Roman"/>
              <w:sz w:val="24"/>
              <w:szCs w:val="24"/>
            </w:rPr>
            <w:fldChar w:fldCharType="separate"/>
          </w:r>
          <w:r w:rsidR="00DB3199" w:rsidRPr="00D37596">
            <w:rPr>
              <w:rFonts w:ascii="Times New Roman" w:hAnsi="Times New Roman" w:cs="Times New Roman"/>
              <w:noProof/>
              <w:sz w:val="24"/>
              <w:szCs w:val="24"/>
            </w:rPr>
            <w:t>(Tesco, 2021)</w:t>
          </w:r>
          <w:r w:rsidR="00DB3199">
            <w:rPr>
              <w:rFonts w:ascii="Times New Roman" w:hAnsi="Times New Roman" w:cs="Times New Roman"/>
              <w:sz w:val="24"/>
              <w:szCs w:val="24"/>
            </w:rPr>
            <w:fldChar w:fldCharType="end"/>
          </w:r>
        </w:sdtContent>
      </w:sdt>
    </w:p>
    <w:p w14:paraId="7FAEE1B4" w14:textId="7ECA21FA" w:rsidR="00816E45" w:rsidRDefault="00E2292D" w:rsidP="00FF4FE1">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Composition, Succession and Evaluation:</w:t>
      </w:r>
    </w:p>
    <w:p w14:paraId="2B867B38" w14:textId="1E56B24D" w:rsidR="00E2292D" w:rsidRDefault="00BA0D5A" w:rsidP="00DB3199">
      <w:pPr>
        <w:spacing w:line="360" w:lineRule="auto"/>
        <w:jc w:val="both"/>
        <w:rPr>
          <w:rFonts w:ascii="Times New Roman" w:hAnsi="Times New Roman" w:cs="Times New Roman"/>
          <w:sz w:val="24"/>
          <w:szCs w:val="24"/>
        </w:rPr>
      </w:pPr>
      <w:r>
        <w:rPr>
          <w:rFonts w:ascii="Times New Roman" w:hAnsi="Times New Roman" w:cs="Times New Roman"/>
          <w:sz w:val="24"/>
          <w:szCs w:val="24"/>
        </w:rPr>
        <w:t>Nominations and Governance committee leads the process of board a</w:t>
      </w:r>
      <w:r w:rsidR="00FE4350">
        <w:rPr>
          <w:rFonts w:ascii="Times New Roman" w:hAnsi="Times New Roman" w:cs="Times New Roman"/>
          <w:sz w:val="24"/>
          <w:szCs w:val="24"/>
        </w:rPr>
        <w:t xml:space="preserve">ppointments. To ensure a continuous level of quality in management, succession plan for directors and key management personnel is developed is the Nominations and Governance committee. Tesco understands that diversity ais a key driver in success of a business. Accordingly, candidates from a wide range of </w:t>
      </w:r>
      <w:r w:rsidR="00FE4350">
        <w:rPr>
          <w:rFonts w:ascii="Times New Roman" w:hAnsi="Times New Roman" w:cs="Times New Roman"/>
          <w:sz w:val="24"/>
          <w:szCs w:val="24"/>
        </w:rPr>
        <w:lastRenderedPageBreak/>
        <w:t>diverse backgrounds are considered for appointment as they can bring a range of experience and skills to Tesco.</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1956526564"/>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Tes211 \l 1033 </w:instrText>
          </w:r>
          <w:r w:rsidR="00DB3199">
            <w:rPr>
              <w:rFonts w:ascii="Times New Roman" w:hAnsi="Times New Roman" w:cs="Times New Roman"/>
              <w:sz w:val="24"/>
              <w:szCs w:val="24"/>
            </w:rPr>
            <w:fldChar w:fldCharType="separate"/>
          </w:r>
          <w:r w:rsidR="00DB3199" w:rsidRPr="00D37596">
            <w:rPr>
              <w:rFonts w:ascii="Times New Roman" w:hAnsi="Times New Roman" w:cs="Times New Roman"/>
              <w:noProof/>
              <w:sz w:val="24"/>
              <w:szCs w:val="24"/>
            </w:rPr>
            <w:t>(Tesco, 2021)</w:t>
          </w:r>
          <w:r w:rsidR="00DB3199">
            <w:rPr>
              <w:rFonts w:ascii="Times New Roman" w:hAnsi="Times New Roman" w:cs="Times New Roman"/>
              <w:sz w:val="24"/>
              <w:szCs w:val="24"/>
            </w:rPr>
            <w:fldChar w:fldCharType="end"/>
          </w:r>
        </w:sdtContent>
      </w:sdt>
    </w:p>
    <w:p w14:paraId="1A20BFE8" w14:textId="3E3BEF7A" w:rsidR="00FE4350" w:rsidRDefault="00FE4350"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To include directors who possess wide range of expertise, experience and knowledge, Tesco is committed to having a diverse and balanced board of directors. To ensure continued professional development, each the training and development needs of each director are discussed and agreed with the group secretary and group chief executive.</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1049652456"/>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Abd211 \l 1033 </w:instrText>
          </w:r>
          <w:r w:rsidR="00DB3199">
            <w:rPr>
              <w:rFonts w:ascii="Times New Roman" w:hAnsi="Times New Roman" w:cs="Times New Roman"/>
              <w:sz w:val="24"/>
              <w:szCs w:val="24"/>
            </w:rPr>
            <w:fldChar w:fldCharType="separate"/>
          </w:r>
          <w:r w:rsidR="00DB3199" w:rsidRPr="00DB3199">
            <w:rPr>
              <w:rFonts w:ascii="Times New Roman" w:hAnsi="Times New Roman" w:cs="Times New Roman"/>
              <w:noProof/>
              <w:sz w:val="24"/>
              <w:szCs w:val="24"/>
            </w:rPr>
            <w:t>(Abdus, 2021)</w:t>
          </w:r>
          <w:r w:rsidR="00DB3199">
            <w:rPr>
              <w:rFonts w:ascii="Times New Roman" w:hAnsi="Times New Roman" w:cs="Times New Roman"/>
              <w:sz w:val="24"/>
              <w:szCs w:val="24"/>
            </w:rPr>
            <w:fldChar w:fldCharType="end"/>
          </w:r>
        </w:sdtContent>
      </w:sdt>
    </w:p>
    <w:p w14:paraId="788F22D5" w14:textId="7BC2CF54" w:rsidR="00FE4350" w:rsidRDefault="000654DA"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Both internal and external evaluations are undertaken on annual basis. The senior </w:t>
      </w:r>
      <w:r w:rsidR="00D37596">
        <w:rPr>
          <w:rFonts w:ascii="Times New Roman" w:hAnsi="Times New Roman" w:cs="Times New Roman"/>
          <w:sz w:val="24"/>
          <w:szCs w:val="24"/>
        </w:rPr>
        <w:t>non-executive</w:t>
      </w:r>
      <w:r>
        <w:rPr>
          <w:rFonts w:ascii="Times New Roman" w:hAnsi="Times New Roman" w:cs="Times New Roman"/>
          <w:sz w:val="24"/>
          <w:szCs w:val="24"/>
        </w:rPr>
        <w:t xml:space="preserve"> director leads the internal evaluation with the help of group chief executive. Performance of each director and committee is evaluated and the directors do not participate in evaluation of their own performance.</w:t>
      </w:r>
    </w:p>
    <w:p w14:paraId="34496AF0" w14:textId="5F7A168D" w:rsidR="000654DA" w:rsidRDefault="000654DA" w:rsidP="00FF4FE1">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Audit Risk and Internal Control:</w:t>
      </w:r>
    </w:p>
    <w:p w14:paraId="69C00379" w14:textId="66143C32" w:rsidR="000654DA" w:rsidRDefault="000654DA"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Tesco’s dedicated internal audit function and the appointed external auditors meet with the audit committee at regular intervals to discuss key recommendations and integrity of financial reporting process. Board has constituted the audit committee to oversee, on its behalf, the risk management function and implementation of a robust system of internal controls.</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1100028724"/>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Tes211 \l 1033 </w:instrText>
          </w:r>
          <w:r w:rsidR="00DB3199">
            <w:rPr>
              <w:rFonts w:ascii="Times New Roman" w:hAnsi="Times New Roman" w:cs="Times New Roman"/>
              <w:sz w:val="24"/>
              <w:szCs w:val="24"/>
            </w:rPr>
            <w:fldChar w:fldCharType="separate"/>
          </w:r>
          <w:r w:rsidR="00DB3199" w:rsidRPr="00D37596">
            <w:rPr>
              <w:rFonts w:ascii="Times New Roman" w:hAnsi="Times New Roman" w:cs="Times New Roman"/>
              <w:noProof/>
              <w:sz w:val="24"/>
              <w:szCs w:val="24"/>
            </w:rPr>
            <w:t>(Tesco, 2021)</w:t>
          </w:r>
          <w:r w:rsidR="00DB3199">
            <w:rPr>
              <w:rFonts w:ascii="Times New Roman" w:hAnsi="Times New Roman" w:cs="Times New Roman"/>
              <w:sz w:val="24"/>
              <w:szCs w:val="24"/>
            </w:rPr>
            <w:fldChar w:fldCharType="end"/>
          </w:r>
        </w:sdtContent>
      </w:sdt>
    </w:p>
    <w:p w14:paraId="2D5D992B" w14:textId="1432EF43" w:rsidR="000654DA" w:rsidRDefault="000654DA" w:rsidP="00FF4FE1">
      <w:pPr>
        <w:spacing w:line="360" w:lineRule="auto"/>
        <w:jc w:val="both"/>
        <w:rPr>
          <w:rFonts w:ascii="Times New Roman" w:hAnsi="Times New Roman" w:cs="Times New Roman"/>
          <w:b/>
          <w:bCs/>
          <w:sz w:val="24"/>
          <w:szCs w:val="24"/>
        </w:rPr>
      </w:pPr>
      <w:r w:rsidRPr="000654DA">
        <w:rPr>
          <w:rFonts w:ascii="Times New Roman" w:hAnsi="Times New Roman" w:cs="Times New Roman"/>
          <w:b/>
          <w:bCs/>
          <w:sz w:val="24"/>
          <w:szCs w:val="24"/>
        </w:rPr>
        <w:t>Remuneration</w:t>
      </w:r>
    </w:p>
    <w:p w14:paraId="01119F81" w14:textId="7AC6B932" w:rsidR="000654DA" w:rsidRPr="000654DA" w:rsidRDefault="000654DA" w:rsidP="00FF4FE1">
      <w:pPr>
        <w:spacing w:line="360" w:lineRule="auto"/>
        <w:jc w:val="both"/>
        <w:rPr>
          <w:rFonts w:ascii="Times New Roman" w:hAnsi="Times New Roman" w:cs="Times New Roman"/>
          <w:sz w:val="24"/>
          <w:szCs w:val="24"/>
        </w:rPr>
      </w:pPr>
      <w:r>
        <w:rPr>
          <w:rFonts w:ascii="Times New Roman" w:hAnsi="Times New Roman" w:cs="Times New Roman"/>
          <w:sz w:val="24"/>
          <w:szCs w:val="24"/>
        </w:rPr>
        <w:t>The remuneration committee ensures that the remuneration policies and practices are consistent with purpose, culture and scale of business. Executive remuneration and evaluation and disclosures of remuneration outcomes are also subject to review of the committee.</w:t>
      </w:r>
      <w:r w:rsidR="009A00BB">
        <w:rPr>
          <w:rFonts w:ascii="Times New Roman" w:hAnsi="Times New Roman" w:cs="Times New Roman"/>
          <w:sz w:val="24"/>
          <w:szCs w:val="24"/>
        </w:rPr>
        <w:t xml:space="preserve"> Tesco is applying all the requirements of the code of corporate governance with the exception of provision 38, which relates to </w:t>
      </w:r>
      <w:r w:rsidR="001137C1">
        <w:rPr>
          <w:rFonts w:ascii="Times New Roman" w:hAnsi="Times New Roman" w:cs="Times New Roman"/>
          <w:sz w:val="24"/>
          <w:szCs w:val="24"/>
        </w:rPr>
        <w:t xml:space="preserve">alignment of pension benefits available to executives with those offered to workforce. Plans are underway to ensure compliance with this provision as well as the company has already announced modifications to </w:t>
      </w:r>
      <w:r w:rsidR="00B473D6">
        <w:rPr>
          <w:rFonts w:ascii="Times New Roman" w:hAnsi="Times New Roman" w:cs="Times New Roman"/>
          <w:sz w:val="24"/>
          <w:szCs w:val="24"/>
        </w:rPr>
        <w:t xml:space="preserve">its </w:t>
      </w:r>
      <w:r w:rsidR="001137C1">
        <w:rPr>
          <w:rFonts w:ascii="Times New Roman" w:hAnsi="Times New Roman" w:cs="Times New Roman"/>
          <w:sz w:val="24"/>
          <w:szCs w:val="24"/>
        </w:rPr>
        <w:t>executive remuneration policy.</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2085212991"/>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Cha201 \l 1033 </w:instrText>
          </w:r>
          <w:r w:rsidR="00DB3199">
            <w:rPr>
              <w:rFonts w:ascii="Times New Roman" w:hAnsi="Times New Roman" w:cs="Times New Roman"/>
              <w:sz w:val="24"/>
              <w:szCs w:val="24"/>
            </w:rPr>
            <w:fldChar w:fldCharType="separate"/>
          </w:r>
          <w:r w:rsidR="00DB3199" w:rsidRPr="00DB3199">
            <w:rPr>
              <w:rFonts w:ascii="Times New Roman" w:hAnsi="Times New Roman" w:cs="Times New Roman"/>
              <w:noProof/>
              <w:sz w:val="24"/>
              <w:szCs w:val="24"/>
            </w:rPr>
            <w:t>(Charles, 2020)</w:t>
          </w:r>
          <w:r w:rsidR="00DB3199">
            <w:rPr>
              <w:rFonts w:ascii="Times New Roman" w:hAnsi="Times New Roman" w:cs="Times New Roman"/>
              <w:sz w:val="24"/>
              <w:szCs w:val="24"/>
            </w:rPr>
            <w:fldChar w:fldCharType="end"/>
          </w:r>
        </w:sdtContent>
      </w:sdt>
    </w:p>
    <w:p w14:paraId="5DC6DB56" w14:textId="3B9A983B" w:rsidR="0085133D" w:rsidRPr="00263B86" w:rsidRDefault="00AD4F00" w:rsidP="00263B86">
      <w:pPr>
        <w:pStyle w:val="Heading1"/>
        <w:pBdr>
          <w:bottom w:val="single" w:sz="18" w:space="1" w:color="000000" w:themeColor="text1"/>
        </w:pBdr>
        <w:spacing w:after="240" w:line="276" w:lineRule="auto"/>
        <w:rPr>
          <w:rFonts w:ascii="Bahnschrift SemiBold" w:hAnsi="Bahnschrift SemiBold" w:cs="Times New Roman"/>
          <w:b/>
          <w:bCs/>
          <w:color w:val="000000" w:themeColor="text1"/>
          <w:sz w:val="28"/>
          <w:szCs w:val="24"/>
        </w:rPr>
      </w:pPr>
      <w:bookmarkStart w:id="3" w:name="_Toc100105019"/>
      <w:r w:rsidRPr="00263B86">
        <w:rPr>
          <w:rFonts w:ascii="Bahnschrift SemiBold" w:hAnsi="Bahnschrift SemiBold" w:cs="Times New Roman"/>
          <w:b/>
          <w:bCs/>
          <w:color w:val="000000" w:themeColor="text1"/>
          <w:sz w:val="28"/>
          <w:szCs w:val="24"/>
        </w:rPr>
        <w:t>Question 2</w:t>
      </w:r>
      <w:bookmarkEnd w:id="3"/>
    </w:p>
    <w:p w14:paraId="67906376" w14:textId="4649C728" w:rsidR="00863E6B" w:rsidRDefault="00AD4F00" w:rsidP="00AD4F0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Being the representatives of shareholders, </w:t>
      </w:r>
      <w:r w:rsidR="00376857">
        <w:rPr>
          <w:rFonts w:ascii="Times New Roman" w:hAnsi="Times New Roman" w:cs="Times New Roman"/>
          <w:sz w:val="24"/>
          <w:szCs w:val="24"/>
        </w:rPr>
        <w:t xml:space="preserve">the </w:t>
      </w:r>
      <w:r w:rsidR="004E777F">
        <w:rPr>
          <w:rFonts w:ascii="Times New Roman" w:hAnsi="Times New Roman" w:cs="Times New Roman"/>
          <w:sz w:val="24"/>
          <w:szCs w:val="24"/>
        </w:rPr>
        <w:t>b</w:t>
      </w:r>
      <w:r>
        <w:rPr>
          <w:rFonts w:ascii="Times New Roman" w:hAnsi="Times New Roman" w:cs="Times New Roman"/>
          <w:sz w:val="24"/>
          <w:szCs w:val="24"/>
        </w:rPr>
        <w:t xml:space="preserve">oard of </w:t>
      </w:r>
      <w:r w:rsidR="004E777F">
        <w:rPr>
          <w:rFonts w:ascii="Times New Roman" w:hAnsi="Times New Roman" w:cs="Times New Roman"/>
          <w:sz w:val="24"/>
          <w:szCs w:val="24"/>
        </w:rPr>
        <w:t>d</w:t>
      </w:r>
      <w:r>
        <w:rPr>
          <w:rFonts w:ascii="Times New Roman" w:hAnsi="Times New Roman" w:cs="Times New Roman"/>
          <w:sz w:val="24"/>
          <w:szCs w:val="24"/>
        </w:rPr>
        <w:t>irectors is entrusted with the responsibility of overseeing the implementation of and setting strategies for meeting strategic objectives of the company.</w:t>
      </w:r>
      <w:r w:rsidR="004E777F">
        <w:rPr>
          <w:rFonts w:ascii="Times New Roman" w:hAnsi="Times New Roman" w:cs="Times New Roman"/>
          <w:sz w:val="24"/>
          <w:szCs w:val="24"/>
        </w:rPr>
        <w:t xml:space="preserve"> Two main roles played by the board of directors are critically explained below:</w:t>
      </w:r>
    </w:p>
    <w:p w14:paraId="40D0BD5D" w14:textId="695A1CAB" w:rsidR="004E777F" w:rsidRDefault="004E777F" w:rsidP="00AD4F00">
      <w:pPr>
        <w:spacing w:line="360" w:lineRule="auto"/>
        <w:jc w:val="both"/>
        <w:rPr>
          <w:rFonts w:ascii="Times New Roman" w:hAnsi="Times New Roman" w:cs="Times New Roman"/>
          <w:b/>
          <w:bCs/>
          <w:sz w:val="24"/>
          <w:szCs w:val="24"/>
        </w:rPr>
      </w:pPr>
      <w:r w:rsidRPr="00376857">
        <w:rPr>
          <w:rFonts w:ascii="Times New Roman" w:hAnsi="Times New Roman" w:cs="Times New Roman"/>
          <w:b/>
          <w:bCs/>
          <w:sz w:val="24"/>
          <w:szCs w:val="24"/>
        </w:rPr>
        <w:lastRenderedPageBreak/>
        <w:t xml:space="preserve">Implementation of </w:t>
      </w:r>
      <w:r w:rsidR="00376857" w:rsidRPr="00376857">
        <w:rPr>
          <w:rFonts w:ascii="Times New Roman" w:hAnsi="Times New Roman" w:cs="Times New Roman"/>
          <w:b/>
          <w:bCs/>
          <w:sz w:val="24"/>
          <w:szCs w:val="24"/>
        </w:rPr>
        <w:t>Long</w:t>
      </w:r>
      <w:r w:rsidR="00685E2F">
        <w:rPr>
          <w:rFonts w:ascii="Times New Roman" w:hAnsi="Times New Roman" w:cs="Times New Roman"/>
          <w:b/>
          <w:bCs/>
          <w:sz w:val="24"/>
          <w:szCs w:val="24"/>
        </w:rPr>
        <w:t xml:space="preserve"> </w:t>
      </w:r>
      <w:r w:rsidR="00376857" w:rsidRPr="00376857">
        <w:rPr>
          <w:rFonts w:ascii="Times New Roman" w:hAnsi="Times New Roman" w:cs="Times New Roman"/>
          <w:b/>
          <w:bCs/>
          <w:sz w:val="24"/>
          <w:szCs w:val="24"/>
        </w:rPr>
        <w:t>Term Goals:</w:t>
      </w:r>
    </w:p>
    <w:p w14:paraId="53EF9AD1" w14:textId="2C36E41F" w:rsidR="00376857" w:rsidRDefault="00376857" w:rsidP="00AD4F0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Articulating long term goal and plans is an important aspect of corporate governance. The shareholders rely on the board </w:t>
      </w:r>
      <w:r w:rsidR="00DC0E70">
        <w:rPr>
          <w:rFonts w:ascii="Times New Roman" w:hAnsi="Times New Roman" w:cs="Times New Roman"/>
          <w:sz w:val="24"/>
          <w:szCs w:val="24"/>
        </w:rPr>
        <w:t>to</w:t>
      </w:r>
      <w:r>
        <w:rPr>
          <w:rFonts w:ascii="Times New Roman" w:hAnsi="Times New Roman" w:cs="Times New Roman"/>
          <w:sz w:val="24"/>
          <w:szCs w:val="24"/>
        </w:rPr>
        <w:t xml:space="preserve"> strategize goals, design a roadmap for achievement of these goals and to device and put in place mechanism for implementation of the strategic objectives by setting targets to be achieved in short, mid and long term.</w:t>
      </w:r>
      <w:r w:rsidR="002163DB">
        <w:rPr>
          <w:rFonts w:ascii="Times New Roman" w:hAnsi="Times New Roman" w:cs="Times New Roman"/>
          <w:sz w:val="24"/>
          <w:szCs w:val="24"/>
        </w:rPr>
        <w:t xml:space="preserve"> Merely setting the goals does not absolve the board from their responsibility to the shareholders, but they also need to take measures for monitor progress towards achievement of those objectives</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805318268"/>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Tes211 \l 1033 </w:instrText>
          </w:r>
          <w:r w:rsidR="00DB3199">
            <w:rPr>
              <w:rFonts w:ascii="Times New Roman" w:hAnsi="Times New Roman" w:cs="Times New Roman"/>
              <w:sz w:val="24"/>
              <w:szCs w:val="24"/>
            </w:rPr>
            <w:fldChar w:fldCharType="separate"/>
          </w:r>
          <w:r w:rsidR="00DB3199" w:rsidRPr="00D37596">
            <w:rPr>
              <w:rFonts w:ascii="Times New Roman" w:hAnsi="Times New Roman" w:cs="Times New Roman"/>
              <w:noProof/>
              <w:sz w:val="24"/>
              <w:szCs w:val="24"/>
            </w:rPr>
            <w:t>(Tesco, 2021)</w:t>
          </w:r>
          <w:r w:rsidR="00DB3199">
            <w:rPr>
              <w:rFonts w:ascii="Times New Roman" w:hAnsi="Times New Roman" w:cs="Times New Roman"/>
              <w:sz w:val="24"/>
              <w:szCs w:val="24"/>
            </w:rPr>
            <w:fldChar w:fldCharType="end"/>
          </w:r>
        </w:sdtContent>
      </w:sdt>
      <w:r w:rsidR="002163DB">
        <w:rPr>
          <w:rFonts w:ascii="Times New Roman" w:hAnsi="Times New Roman" w:cs="Times New Roman"/>
          <w:sz w:val="24"/>
          <w:szCs w:val="24"/>
        </w:rPr>
        <w:t xml:space="preserve">. </w:t>
      </w:r>
      <w:r w:rsidR="00DC0E70">
        <w:rPr>
          <w:rFonts w:ascii="Times New Roman" w:hAnsi="Times New Roman" w:cs="Times New Roman"/>
          <w:sz w:val="24"/>
          <w:szCs w:val="24"/>
        </w:rPr>
        <w:t xml:space="preserve">Deciding on strategic objectives ensures that the board is promoting sustainable success of the company. </w:t>
      </w:r>
      <w:r w:rsidR="002163DB">
        <w:rPr>
          <w:rFonts w:ascii="Times New Roman" w:hAnsi="Times New Roman" w:cs="Times New Roman"/>
          <w:sz w:val="24"/>
          <w:szCs w:val="24"/>
        </w:rPr>
        <w:t xml:space="preserve">Being the agents of the shareholders, members of the board owe it to these stakeholders the </w:t>
      </w:r>
      <w:r w:rsidR="00DC0E70">
        <w:rPr>
          <w:rFonts w:ascii="Times New Roman" w:hAnsi="Times New Roman" w:cs="Times New Roman"/>
          <w:sz w:val="24"/>
          <w:szCs w:val="24"/>
        </w:rPr>
        <w:t xml:space="preserve">interests of the investors are protected and due regard is paid to safeguarding shareholder interests through development of formal plans to ensure financial and operational performance, strategy, effective risk management, and stakeholder engagement. </w:t>
      </w:r>
      <w:r w:rsidR="0021634A">
        <w:rPr>
          <w:rFonts w:ascii="Times New Roman" w:hAnsi="Times New Roman" w:cs="Times New Roman"/>
          <w:sz w:val="24"/>
          <w:szCs w:val="24"/>
        </w:rPr>
        <w:t>Board needs to ensure that the corporate culture and values are aligned with the strategic objectives and the organization has access to ample human and material resources that are vital for achievement of long</w:t>
      </w:r>
      <w:r w:rsidR="00685E2F">
        <w:rPr>
          <w:rFonts w:ascii="Times New Roman" w:hAnsi="Times New Roman" w:cs="Times New Roman"/>
          <w:sz w:val="24"/>
          <w:szCs w:val="24"/>
        </w:rPr>
        <w:t xml:space="preserve"> </w:t>
      </w:r>
      <w:r w:rsidR="0021634A">
        <w:rPr>
          <w:rFonts w:ascii="Times New Roman" w:hAnsi="Times New Roman" w:cs="Times New Roman"/>
          <w:sz w:val="24"/>
          <w:szCs w:val="24"/>
        </w:rPr>
        <w:t xml:space="preserve">term goals. </w:t>
      </w:r>
      <w:r w:rsidR="00766C09">
        <w:rPr>
          <w:rFonts w:ascii="Times New Roman" w:hAnsi="Times New Roman" w:cs="Times New Roman"/>
          <w:sz w:val="24"/>
          <w:szCs w:val="24"/>
        </w:rPr>
        <w:t>Corporate strategy gives the business its purpose, defines success and shows destination, without a target in sight all the efforts will not be coordinated towards the achievement of common goals.</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1595215319"/>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CITATION Mar202 \l 1033 </w:instrText>
          </w:r>
          <w:r w:rsidR="00DB3199">
            <w:rPr>
              <w:rFonts w:ascii="Times New Roman" w:hAnsi="Times New Roman" w:cs="Times New Roman"/>
              <w:sz w:val="24"/>
              <w:szCs w:val="24"/>
            </w:rPr>
            <w:fldChar w:fldCharType="separate"/>
          </w:r>
          <w:r w:rsidR="00DB3199" w:rsidRPr="00DB3199">
            <w:rPr>
              <w:rFonts w:ascii="Times New Roman" w:hAnsi="Times New Roman" w:cs="Times New Roman"/>
              <w:noProof/>
              <w:sz w:val="24"/>
              <w:szCs w:val="24"/>
            </w:rPr>
            <w:t>(Marius, 2020)</w:t>
          </w:r>
          <w:r w:rsidR="00DB3199">
            <w:rPr>
              <w:rFonts w:ascii="Times New Roman" w:hAnsi="Times New Roman" w:cs="Times New Roman"/>
              <w:sz w:val="24"/>
              <w:szCs w:val="24"/>
            </w:rPr>
            <w:fldChar w:fldCharType="end"/>
          </w:r>
        </w:sdtContent>
      </w:sdt>
    </w:p>
    <w:p w14:paraId="0CE2563D" w14:textId="2020F43A" w:rsidR="00766C09" w:rsidRPr="00CB7498" w:rsidRDefault="00CB7498" w:rsidP="00AD4F00">
      <w:pPr>
        <w:spacing w:line="360" w:lineRule="auto"/>
        <w:jc w:val="both"/>
        <w:rPr>
          <w:rFonts w:ascii="Times New Roman" w:hAnsi="Times New Roman" w:cs="Times New Roman"/>
          <w:b/>
          <w:bCs/>
          <w:sz w:val="24"/>
          <w:szCs w:val="24"/>
        </w:rPr>
      </w:pPr>
      <w:r w:rsidRPr="00CB7498">
        <w:rPr>
          <w:rFonts w:ascii="Times New Roman" w:hAnsi="Times New Roman" w:cs="Times New Roman"/>
          <w:b/>
          <w:bCs/>
          <w:sz w:val="24"/>
          <w:szCs w:val="24"/>
        </w:rPr>
        <w:t>Retention and Succession Planning</w:t>
      </w:r>
    </w:p>
    <w:p w14:paraId="623528B2" w14:textId="24AC8B94" w:rsidR="00863E6B" w:rsidRDefault="00CB7498" w:rsidP="00EB2547">
      <w:pPr>
        <w:spacing w:line="360" w:lineRule="auto"/>
        <w:jc w:val="both"/>
        <w:rPr>
          <w:rFonts w:ascii="Times New Roman" w:hAnsi="Times New Roman" w:cs="Times New Roman"/>
          <w:sz w:val="24"/>
          <w:szCs w:val="24"/>
        </w:rPr>
      </w:pPr>
      <w:r>
        <w:rPr>
          <w:rFonts w:ascii="Times New Roman" w:hAnsi="Times New Roman" w:cs="Times New Roman"/>
          <w:sz w:val="24"/>
          <w:szCs w:val="24"/>
        </w:rPr>
        <w:t>Employees are the most important resource for successfully carrying out any form of business. Board also has the responsibility to aggressively search for and hire top talent for appointment on executive level positions. Employee engagement and job satisfaction plays vital role in operational and financial performance, accordingly the board shall focus attention toward recruitment, supervision, retention, evaluation and compensation of key management personnel including the members of the board itself. In order to enhance the long</w:t>
      </w:r>
      <w:r w:rsidR="00685E2F">
        <w:rPr>
          <w:rFonts w:ascii="Times New Roman" w:hAnsi="Times New Roman" w:cs="Times New Roman"/>
          <w:sz w:val="24"/>
          <w:szCs w:val="24"/>
        </w:rPr>
        <w:t xml:space="preserve"> </w:t>
      </w:r>
      <w:r>
        <w:rPr>
          <w:rFonts w:ascii="Times New Roman" w:hAnsi="Times New Roman" w:cs="Times New Roman"/>
          <w:sz w:val="24"/>
          <w:szCs w:val="24"/>
        </w:rPr>
        <w:t xml:space="preserve">term prosperity of the organization, the effective succession planning of key personnel </w:t>
      </w:r>
      <w:r w:rsidR="00B47B99">
        <w:rPr>
          <w:rFonts w:ascii="Times New Roman" w:hAnsi="Times New Roman" w:cs="Times New Roman"/>
          <w:sz w:val="24"/>
          <w:szCs w:val="24"/>
        </w:rPr>
        <w:t>should be encouraged by the board. Another important aspect is the remuneration of employees</w:t>
      </w:r>
      <w:r w:rsidR="00DB3199">
        <w:rPr>
          <w:rFonts w:ascii="Times New Roman" w:hAnsi="Times New Roman" w:cs="Times New Roman"/>
          <w:sz w:val="24"/>
          <w:szCs w:val="24"/>
        </w:rPr>
        <w:t xml:space="preserve"> </w:t>
      </w:r>
      <w:sdt>
        <w:sdtPr>
          <w:rPr>
            <w:rFonts w:ascii="Times New Roman" w:hAnsi="Times New Roman" w:cs="Times New Roman"/>
            <w:sz w:val="24"/>
            <w:szCs w:val="24"/>
          </w:rPr>
          <w:id w:val="-110283404"/>
          <w:citation/>
        </w:sdtPr>
        <w:sdtEndPr/>
        <w:sdtContent>
          <w:r w:rsidR="00DB3199">
            <w:rPr>
              <w:rFonts w:ascii="Times New Roman" w:hAnsi="Times New Roman" w:cs="Times New Roman"/>
              <w:sz w:val="24"/>
              <w:szCs w:val="24"/>
            </w:rPr>
            <w:fldChar w:fldCharType="begin"/>
          </w:r>
          <w:r w:rsidR="00DB3199">
            <w:rPr>
              <w:rFonts w:ascii="Times New Roman" w:hAnsi="Times New Roman" w:cs="Times New Roman"/>
              <w:sz w:val="24"/>
              <w:szCs w:val="24"/>
            </w:rPr>
            <w:instrText xml:space="preserve"> CITATION Lex21 \l 1033 </w:instrText>
          </w:r>
          <w:r w:rsidR="00DB3199">
            <w:rPr>
              <w:rFonts w:ascii="Times New Roman" w:hAnsi="Times New Roman" w:cs="Times New Roman"/>
              <w:sz w:val="24"/>
              <w:szCs w:val="24"/>
            </w:rPr>
            <w:fldChar w:fldCharType="separate"/>
          </w:r>
          <w:r w:rsidR="00DB3199" w:rsidRPr="00DB3199">
            <w:rPr>
              <w:rFonts w:ascii="Times New Roman" w:hAnsi="Times New Roman" w:cs="Times New Roman"/>
              <w:noProof/>
              <w:sz w:val="24"/>
              <w:szCs w:val="24"/>
            </w:rPr>
            <w:t>(LexisPSL, 2021)</w:t>
          </w:r>
          <w:r w:rsidR="00DB3199">
            <w:rPr>
              <w:rFonts w:ascii="Times New Roman" w:hAnsi="Times New Roman" w:cs="Times New Roman"/>
              <w:sz w:val="24"/>
              <w:szCs w:val="24"/>
            </w:rPr>
            <w:fldChar w:fldCharType="end"/>
          </w:r>
        </w:sdtContent>
      </w:sdt>
      <w:r w:rsidR="00B47B99">
        <w:rPr>
          <w:rFonts w:ascii="Times New Roman" w:hAnsi="Times New Roman" w:cs="Times New Roman"/>
          <w:sz w:val="24"/>
          <w:szCs w:val="24"/>
        </w:rPr>
        <w:t>. Board needs to ensure that there is no under compensating as financial rewards play a key role in job enrichment, and also in attracting top tier performers who will add further value to the company.</w:t>
      </w:r>
      <w:r w:rsidR="00DA09F0">
        <w:rPr>
          <w:rFonts w:ascii="Times New Roman" w:hAnsi="Times New Roman" w:cs="Times New Roman"/>
          <w:sz w:val="24"/>
          <w:szCs w:val="24"/>
        </w:rPr>
        <w:t xml:space="preserve"> </w:t>
      </w:r>
      <w:r w:rsidR="00635D15">
        <w:rPr>
          <w:rFonts w:ascii="Times New Roman" w:hAnsi="Times New Roman" w:cs="Times New Roman"/>
          <w:sz w:val="24"/>
          <w:szCs w:val="24"/>
        </w:rPr>
        <w:t xml:space="preserve">When it comes to composition of the board, principles of corporate governance require that a transparent and formal nomination and election process is followed and sufficient number of </w:t>
      </w:r>
      <w:r w:rsidR="00D37596">
        <w:rPr>
          <w:rFonts w:ascii="Times New Roman" w:hAnsi="Times New Roman" w:cs="Times New Roman"/>
          <w:sz w:val="24"/>
          <w:szCs w:val="24"/>
        </w:rPr>
        <w:t>non-executive</w:t>
      </w:r>
      <w:r w:rsidR="00635D15">
        <w:rPr>
          <w:rFonts w:ascii="Times New Roman" w:hAnsi="Times New Roman" w:cs="Times New Roman"/>
          <w:sz w:val="24"/>
          <w:szCs w:val="24"/>
        </w:rPr>
        <w:t xml:space="preserve"> directors are assigned who exercise independent judgement. </w:t>
      </w:r>
      <w:r w:rsidR="00DA09F0">
        <w:rPr>
          <w:rFonts w:ascii="Times New Roman" w:hAnsi="Times New Roman" w:cs="Times New Roman"/>
          <w:sz w:val="24"/>
          <w:szCs w:val="24"/>
        </w:rPr>
        <w:t xml:space="preserve">Importance of employee engagement and high </w:t>
      </w:r>
      <w:r w:rsidR="00DA09F0">
        <w:rPr>
          <w:rFonts w:ascii="Times New Roman" w:hAnsi="Times New Roman" w:cs="Times New Roman"/>
          <w:sz w:val="24"/>
          <w:szCs w:val="24"/>
        </w:rPr>
        <w:lastRenderedPageBreak/>
        <w:t xml:space="preserve">levels of job satisfaction for ensuring maximum value creation for shareholders and customers can not be over emphasized. Therefore, due attention should be given to </w:t>
      </w:r>
      <w:r w:rsidR="001C43E5">
        <w:rPr>
          <w:rFonts w:ascii="Times New Roman" w:hAnsi="Times New Roman" w:cs="Times New Roman"/>
          <w:sz w:val="24"/>
          <w:szCs w:val="24"/>
        </w:rPr>
        <w:t>effective people management</w:t>
      </w:r>
      <w:r w:rsidR="00AE29B6">
        <w:rPr>
          <w:rFonts w:ascii="Times New Roman" w:hAnsi="Times New Roman" w:cs="Times New Roman"/>
          <w:sz w:val="24"/>
          <w:szCs w:val="24"/>
        </w:rPr>
        <w:t xml:space="preserve"> and to alignment of longer</w:t>
      </w:r>
      <w:r w:rsidR="003C1C8B">
        <w:rPr>
          <w:rFonts w:ascii="Times New Roman" w:hAnsi="Times New Roman" w:cs="Times New Roman"/>
          <w:sz w:val="24"/>
          <w:szCs w:val="24"/>
        </w:rPr>
        <w:t xml:space="preserve"> </w:t>
      </w:r>
      <w:r w:rsidR="00AE29B6">
        <w:rPr>
          <w:rFonts w:ascii="Times New Roman" w:hAnsi="Times New Roman" w:cs="Times New Roman"/>
          <w:sz w:val="24"/>
          <w:szCs w:val="24"/>
        </w:rPr>
        <w:t xml:space="preserve">term interests of shareholders and the company with key executive and board </w:t>
      </w:r>
      <w:r w:rsidR="003C1C8B">
        <w:rPr>
          <w:rFonts w:ascii="Times New Roman" w:hAnsi="Times New Roman" w:cs="Times New Roman"/>
          <w:sz w:val="24"/>
          <w:szCs w:val="24"/>
        </w:rPr>
        <w:t>remuneration</w:t>
      </w:r>
      <w:r w:rsidR="00AE29B6">
        <w:rPr>
          <w:rFonts w:ascii="Times New Roman" w:hAnsi="Times New Roman" w:cs="Times New Roman"/>
          <w:sz w:val="24"/>
          <w:szCs w:val="24"/>
        </w:rPr>
        <w:t>.</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1597782545"/>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Gil22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(Gilbert, 2022)</w:t>
          </w:r>
          <w:r w:rsidR="00263B86">
            <w:rPr>
              <w:rFonts w:ascii="Times New Roman" w:hAnsi="Times New Roman" w:cs="Times New Roman"/>
              <w:sz w:val="24"/>
              <w:szCs w:val="24"/>
            </w:rPr>
            <w:fldChar w:fldCharType="end"/>
          </w:r>
        </w:sdtContent>
      </w:sdt>
    </w:p>
    <w:p w14:paraId="5EA427CD" w14:textId="09F8DB3B" w:rsidR="00E9685F" w:rsidRPr="00263B86" w:rsidRDefault="00E9685F" w:rsidP="00263B86">
      <w:pPr>
        <w:pStyle w:val="Heading1"/>
        <w:pBdr>
          <w:bottom w:val="single" w:sz="18" w:space="1" w:color="000000" w:themeColor="text1"/>
        </w:pBdr>
        <w:spacing w:after="240" w:line="276" w:lineRule="auto"/>
        <w:rPr>
          <w:rFonts w:ascii="Bahnschrift SemiBold" w:hAnsi="Bahnschrift SemiBold" w:cs="Times New Roman"/>
          <w:b/>
          <w:bCs/>
          <w:color w:val="000000" w:themeColor="text1"/>
          <w:sz w:val="28"/>
          <w:szCs w:val="24"/>
        </w:rPr>
      </w:pPr>
      <w:bookmarkStart w:id="4" w:name="_Toc100105020"/>
      <w:r w:rsidRPr="00263B86">
        <w:rPr>
          <w:rFonts w:ascii="Bahnschrift SemiBold" w:hAnsi="Bahnschrift SemiBold" w:cs="Times New Roman"/>
          <w:b/>
          <w:bCs/>
          <w:color w:val="000000" w:themeColor="text1"/>
          <w:sz w:val="28"/>
          <w:szCs w:val="24"/>
        </w:rPr>
        <w:t>Question 3</w:t>
      </w:r>
      <w:bookmarkEnd w:id="4"/>
    </w:p>
    <w:p w14:paraId="11B95B6E" w14:textId="5D8070B5" w:rsidR="003C1C8B" w:rsidRDefault="004C3C7D" w:rsidP="00EB25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Salary being the primary source of income for many employees, is vitally important to them. It plays key role due to its influence on many aspect of the employee- employer relationship, attraction and retention of talent, and ultimately employee and company performance. </w:t>
      </w:r>
      <w:r w:rsidR="002A64EE">
        <w:rPr>
          <w:rFonts w:ascii="Times New Roman" w:hAnsi="Times New Roman" w:cs="Times New Roman"/>
          <w:sz w:val="24"/>
          <w:szCs w:val="24"/>
        </w:rPr>
        <w:t xml:space="preserve">Components of remuneration paid to executive directors included fixed salary, other employment benefits, contribution to pension scheme, performance based annual bonus and performance share plan. Whereas the </w:t>
      </w:r>
      <w:r w:rsidR="00D37596">
        <w:rPr>
          <w:rFonts w:ascii="Times New Roman" w:hAnsi="Times New Roman" w:cs="Times New Roman"/>
          <w:sz w:val="24"/>
          <w:szCs w:val="24"/>
        </w:rPr>
        <w:t>non-executive</w:t>
      </w:r>
      <w:r w:rsidR="002A64EE">
        <w:rPr>
          <w:rFonts w:ascii="Times New Roman" w:hAnsi="Times New Roman" w:cs="Times New Roman"/>
          <w:sz w:val="24"/>
          <w:szCs w:val="24"/>
        </w:rPr>
        <w:t xml:space="preserve"> directors were entitled to directorship fees and reimbursement of expenses incurred in connection with attending board and committee meetings</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2044793677"/>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Fis21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(Fisnik, 2021)</w:t>
          </w:r>
          <w:r w:rsidR="00263B86">
            <w:rPr>
              <w:rFonts w:ascii="Times New Roman" w:hAnsi="Times New Roman" w:cs="Times New Roman"/>
              <w:sz w:val="24"/>
              <w:szCs w:val="24"/>
            </w:rPr>
            <w:fldChar w:fldCharType="end"/>
          </w:r>
        </w:sdtContent>
      </w:sdt>
      <w:r w:rsidR="002A64EE">
        <w:rPr>
          <w:rFonts w:ascii="Times New Roman" w:hAnsi="Times New Roman" w:cs="Times New Roman"/>
          <w:sz w:val="24"/>
          <w:szCs w:val="24"/>
        </w:rPr>
        <w:t>. Each component of executive remuneration are critically analyzed below:</w:t>
      </w:r>
    </w:p>
    <w:p w14:paraId="5FF16C30" w14:textId="57F82FA8" w:rsidR="002A64EE" w:rsidRPr="00596B72" w:rsidRDefault="00596B72" w:rsidP="00EB2547">
      <w:pPr>
        <w:spacing w:line="360" w:lineRule="auto"/>
        <w:jc w:val="both"/>
        <w:rPr>
          <w:rFonts w:ascii="Times New Roman" w:hAnsi="Times New Roman" w:cs="Times New Roman"/>
          <w:b/>
          <w:bCs/>
          <w:sz w:val="24"/>
          <w:szCs w:val="24"/>
        </w:rPr>
      </w:pPr>
      <w:r w:rsidRPr="00596B72">
        <w:rPr>
          <w:rFonts w:ascii="Times New Roman" w:hAnsi="Times New Roman" w:cs="Times New Roman"/>
          <w:b/>
          <w:bCs/>
          <w:sz w:val="24"/>
          <w:szCs w:val="24"/>
        </w:rPr>
        <w:t>Fixed salary:</w:t>
      </w:r>
    </w:p>
    <w:p w14:paraId="0C980F04" w14:textId="4067EAC3" w:rsidR="00863E6B" w:rsidRDefault="00596B72" w:rsidP="00EB25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Tesco pays fixed salary to each of the executives directors, taking into account the scope of their respective responsibilities and industry experience. Fixed component of salary guarantees some compensation to the directors as they are devoting their time and effort to oversee the performance of the company. Each executive directors undertakes a specified number of responsibilities and would naturally expect to be compensated </w:t>
      </w:r>
      <w:r w:rsidR="00C344FA">
        <w:rPr>
          <w:rFonts w:ascii="Times New Roman" w:hAnsi="Times New Roman" w:cs="Times New Roman"/>
          <w:sz w:val="24"/>
          <w:szCs w:val="24"/>
        </w:rPr>
        <w:t>with some form of fixed pay that is proportionate to the role they have assumed at the company</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1871342740"/>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Rah211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(Rahman, 2021)</w:t>
          </w:r>
          <w:r w:rsidR="00263B86">
            <w:rPr>
              <w:rFonts w:ascii="Times New Roman" w:hAnsi="Times New Roman" w:cs="Times New Roman"/>
              <w:sz w:val="24"/>
              <w:szCs w:val="24"/>
            </w:rPr>
            <w:fldChar w:fldCharType="end"/>
          </w:r>
        </w:sdtContent>
      </w:sdt>
      <w:r w:rsidR="00C344FA">
        <w:rPr>
          <w:rFonts w:ascii="Times New Roman" w:hAnsi="Times New Roman" w:cs="Times New Roman"/>
          <w:sz w:val="24"/>
          <w:szCs w:val="24"/>
        </w:rPr>
        <w:t xml:space="preserve">. </w:t>
      </w:r>
      <w:r w:rsidR="0003466C">
        <w:rPr>
          <w:rFonts w:ascii="Times New Roman" w:hAnsi="Times New Roman" w:cs="Times New Roman"/>
          <w:sz w:val="24"/>
          <w:szCs w:val="24"/>
        </w:rPr>
        <w:t>Being a major component of the remuneration, it plays vital role in retention of talen</w:t>
      </w:r>
      <w:r w:rsidR="00E370E6">
        <w:rPr>
          <w:rFonts w:ascii="Times New Roman" w:hAnsi="Times New Roman" w:cs="Times New Roman"/>
          <w:sz w:val="24"/>
          <w:szCs w:val="24"/>
        </w:rPr>
        <w:t xml:space="preserve">t. </w:t>
      </w:r>
      <w:r w:rsidR="00C344FA">
        <w:rPr>
          <w:rFonts w:ascii="Times New Roman" w:hAnsi="Times New Roman" w:cs="Times New Roman"/>
          <w:sz w:val="24"/>
          <w:szCs w:val="24"/>
        </w:rPr>
        <w:t>There is an argument that high fixed pay may discourage employees from trying to be eligible for award of performance based variable pay.</w:t>
      </w:r>
      <w:r w:rsidR="00F01C07">
        <w:rPr>
          <w:rFonts w:ascii="Times New Roman" w:hAnsi="Times New Roman" w:cs="Times New Roman"/>
          <w:sz w:val="24"/>
          <w:szCs w:val="24"/>
        </w:rPr>
        <w:t xml:space="preserve"> Another downside of having fixed pay is that employees may not be motivated to go the extra mile due to the perception that the extra effort will go un rewarded. On the other hand, a fixed component of salary </w:t>
      </w:r>
      <w:r w:rsidR="009E688D">
        <w:rPr>
          <w:rFonts w:ascii="Times New Roman" w:hAnsi="Times New Roman" w:cs="Times New Roman"/>
          <w:sz w:val="24"/>
          <w:szCs w:val="24"/>
        </w:rPr>
        <w:t>ensures that the directors are compensated even when the performance of the company as a whole is not up to the mark due to circumstance beyond their control such as the COVID19 pandemic.</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955405655"/>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Del21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(Delloitte, 2021)</w:t>
          </w:r>
          <w:r w:rsidR="00263B86">
            <w:rPr>
              <w:rFonts w:ascii="Times New Roman" w:hAnsi="Times New Roman" w:cs="Times New Roman"/>
              <w:sz w:val="24"/>
              <w:szCs w:val="24"/>
            </w:rPr>
            <w:fldChar w:fldCharType="end"/>
          </w:r>
        </w:sdtContent>
      </w:sdt>
    </w:p>
    <w:p w14:paraId="6DA606BD" w14:textId="77777777" w:rsidR="000D248F" w:rsidRDefault="000D248F" w:rsidP="00EB2547">
      <w:pPr>
        <w:spacing w:line="360" w:lineRule="auto"/>
        <w:jc w:val="both"/>
        <w:rPr>
          <w:rFonts w:ascii="Times New Roman" w:hAnsi="Times New Roman" w:cs="Times New Roman"/>
          <w:sz w:val="24"/>
          <w:szCs w:val="24"/>
        </w:rPr>
      </w:pPr>
    </w:p>
    <w:p w14:paraId="030AE8C7" w14:textId="02D93A7E" w:rsidR="009E688D" w:rsidRDefault="009E688D" w:rsidP="00EB2547">
      <w:pPr>
        <w:spacing w:line="360" w:lineRule="auto"/>
        <w:jc w:val="both"/>
        <w:rPr>
          <w:rFonts w:ascii="Times New Roman" w:hAnsi="Times New Roman" w:cs="Times New Roman"/>
          <w:b/>
          <w:bCs/>
          <w:sz w:val="24"/>
          <w:szCs w:val="24"/>
        </w:rPr>
      </w:pPr>
      <w:r w:rsidRPr="009E688D">
        <w:rPr>
          <w:rFonts w:ascii="Times New Roman" w:hAnsi="Times New Roman" w:cs="Times New Roman"/>
          <w:b/>
          <w:bCs/>
          <w:sz w:val="24"/>
          <w:szCs w:val="24"/>
        </w:rPr>
        <w:lastRenderedPageBreak/>
        <w:t>Other Employment Benefits</w:t>
      </w:r>
      <w:r>
        <w:rPr>
          <w:rFonts w:ascii="Times New Roman" w:hAnsi="Times New Roman" w:cs="Times New Roman"/>
          <w:b/>
          <w:bCs/>
          <w:sz w:val="24"/>
          <w:szCs w:val="24"/>
        </w:rPr>
        <w:t>:</w:t>
      </w:r>
    </w:p>
    <w:p w14:paraId="62A59EA1" w14:textId="2B85BE64" w:rsidR="009E688D" w:rsidRDefault="009E688D" w:rsidP="00EB25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per market practices, Tesco also awards other employment benefits including car, driver, health and life insurance. The company believes that these benefits assist the executives in performing their respective roles. </w:t>
      </w:r>
      <w:r w:rsidR="00C50B67">
        <w:rPr>
          <w:rFonts w:ascii="Times New Roman" w:hAnsi="Times New Roman" w:cs="Times New Roman"/>
          <w:sz w:val="24"/>
          <w:szCs w:val="24"/>
        </w:rPr>
        <w:t xml:space="preserve">These benefits are also fixed and do not vary depending upon the individual or company performance. Such benefits would definitely contribute to job satisfaction but may not have much impact on the individual’s performance. </w:t>
      </w:r>
      <w:r w:rsidR="00EE0D4A">
        <w:rPr>
          <w:rFonts w:ascii="Times New Roman" w:hAnsi="Times New Roman" w:cs="Times New Roman"/>
          <w:sz w:val="24"/>
          <w:szCs w:val="24"/>
        </w:rPr>
        <w:t>At the time of appointment, executives would expect to receive these benefits as it is industry norm</w:t>
      </w:r>
      <w:r w:rsidR="006D79F6">
        <w:rPr>
          <w:rFonts w:ascii="Times New Roman" w:hAnsi="Times New Roman" w:cs="Times New Roman"/>
          <w:sz w:val="24"/>
          <w:szCs w:val="24"/>
        </w:rPr>
        <w:t>. Therefore, providing these benefits may not have considerable impact on individual and company performance but excluding these from the remuneration package may affect employee morale.</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561335677"/>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ICA201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(ICAEW, 2020)</w:t>
          </w:r>
          <w:r w:rsidR="00263B86">
            <w:rPr>
              <w:rFonts w:ascii="Times New Roman" w:hAnsi="Times New Roman" w:cs="Times New Roman"/>
              <w:sz w:val="24"/>
              <w:szCs w:val="24"/>
            </w:rPr>
            <w:fldChar w:fldCharType="end"/>
          </w:r>
        </w:sdtContent>
      </w:sdt>
    </w:p>
    <w:p w14:paraId="7F911FBE" w14:textId="64DB683B" w:rsidR="009E688D" w:rsidRDefault="009E688D" w:rsidP="00EB2547">
      <w:pPr>
        <w:spacing w:line="360" w:lineRule="auto"/>
        <w:jc w:val="both"/>
        <w:rPr>
          <w:rFonts w:ascii="Times New Roman" w:hAnsi="Times New Roman" w:cs="Times New Roman"/>
          <w:b/>
          <w:bCs/>
          <w:sz w:val="24"/>
          <w:szCs w:val="24"/>
        </w:rPr>
      </w:pPr>
      <w:r w:rsidRPr="009E688D">
        <w:rPr>
          <w:rFonts w:ascii="Times New Roman" w:hAnsi="Times New Roman" w:cs="Times New Roman"/>
          <w:b/>
          <w:bCs/>
          <w:sz w:val="24"/>
          <w:szCs w:val="24"/>
        </w:rPr>
        <w:t>Pension</w:t>
      </w:r>
      <w:r>
        <w:rPr>
          <w:rFonts w:ascii="Times New Roman" w:hAnsi="Times New Roman" w:cs="Times New Roman"/>
          <w:b/>
          <w:bCs/>
          <w:sz w:val="24"/>
          <w:szCs w:val="24"/>
        </w:rPr>
        <w:t>:</w:t>
      </w:r>
    </w:p>
    <w:p w14:paraId="44384453" w14:textId="03299158" w:rsidR="0003466C" w:rsidRDefault="009E688D" w:rsidP="00EB25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 ensure that the remuneration package is consistent with the standard market package, executive directors are also entitled to </w:t>
      </w:r>
      <w:r w:rsidR="006D79F6">
        <w:rPr>
          <w:rFonts w:ascii="Times New Roman" w:hAnsi="Times New Roman" w:cs="Times New Roman"/>
          <w:sz w:val="24"/>
          <w:szCs w:val="24"/>
        </w:rPr>
        <w:t xml:space="preserve">post retirement benefits. </w:t>
      </w:r>
      <w:r w:rsidR="008C5269">
        <w:rPr>
          <w:rFonts w:ascii="Times New Roman" w:hAnsi="Times New Roman" w:cs="Times New Roman"/>
          <w:sz w:val="24"/>
          <w:szCs w:val="24"/>
        </w:rPr>
        <w:t xml:space="preserve">Award of pension schemes provides employees pay even after retirement, which would give them peace of mind as they don’t have to worry about life after retirement and would be able to better focus on their job responsibilities. </w:t>
      </w:r>
      <w:r w:rsidR="00FA2281">
        <w:rPr>
          <w:rFonts w:ascii="Times New Roman" w:hAnsi="Times New Roman" w:cs="Times New Roman"/>
          <w:sz w:val="24"/>
          <w:szCs w:val="24"/>
        </w:rPr>
        <w:t xml:space="preserve">Some studies have also concluded that introduction of pension individual and hence the company performance. If the company is not accommodating its executives </w:t>
      </w:r>
      <w:r w:rsidR="007408C6">
        <w:rPr>
          <w:rFonts w:ascii="Times New Roman" w:hAnsi="Times New Roman" w:cs="Times New Roman"/>
          <w:sz w:val="24"/>
          <w:szCs w:val="24"/>
        </w:rPr>
        <w:t xml:space="preserve">through award of such </w:t>
      </w:r>
      <w:r w:rsidR="00263B86">
        <w:rPr>
          <w:rFonts w:ascii="Times New Roman" w:hAnsi="Times New Roman" w:cs="Times New Roman"/>
          <w:sz w:val="24"/>
          <w:szCs w:val="24"/>
        </w:rPr>
        <w:t>benefits,</w:t>
      </w:r>
      <w:r w:rsidR="007408C6">
        <w:rPr>
          <w:rFonts w:ascii="Times New Roman" w:hAnsi="Times New Roman" w:cs="Times New Roman"/>
          <w:sz w:val="24"/>
          <w:szCs w:val="24"/>
        </w:rPr>
        <w:t xml:space="preserve"> then they may be enticed to leave the company and switch to other companies that provide such benefits.</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1942297590"/>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FRC18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(FRC, 2018)</w:t>
          </w:r>
          <w:r w:rsidR="00263B86">
            <w:rPr>
              <w:rFonts w:ascii="Times New Roman" w:hAnsi="Times New Roman" w:cs="Times New Roman"/>
              <w:sz w:val="24"/>
              <w:szCs w:val="24"/>
            </w:rPr>
            <w:fldChar w:fldCharType="end"/>
          </w:r>
        </w:sdtContent>
      </w:sdt>
    </w:p>
    <w:p w14:paraId="516903E4" w14:textId="4241DD75" w:rsidR="00122699" w:rsidRDefault="008C5269" w:rsidP="0009575C">
      <w:pPr>
        <w:spacing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sidR="0009575C" w:rsidRPr="0009575C">
        <w:rPr>
          <w:rFonts w:ascii="Times New Roman" w:hAnsi="Times New Roman" w:cs="Times New Roman"/>
          <w:b/>
          <w:bCs/>
          <w:sz w:val="24"/>
          <w:szCs w:val="24"/>
        </w:rPr>
        <w:t>Annual Bonus</w:t>
      </w:r>
      <w:r w:rsidR="0009575C">
        <w:rPr>
          <w:rFonts w:ascii="Times New Roman" w:hAnsi="Times New Roman" w:cs="Times New Roman"/>
          <w:b/>
          <w:bCs/>
          <w:sz w:val="24"/>
          <w:szCs w:val="24"/>
        </w:rPr>
        <w:t>:</w:t>
      </w:r>
    </w:p>
    <w:p w14:paraId="73D99C6E" w14:textId="434B0D8F" w:rsidR="0009575C" w:rsidRDefault="0009575C" w:rsidP="0009575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Tesco also awards annual bonus to its executives, based on achievement of individual objectives and targets for group operating profit and group sales. Bonus is </w:t>
      </w:r>
      <w:r w:rsidR="00800C0D">
        <w:rPr>
          <w:rFonts w:ascii="Times New Roman" w:hAnsi="Times New Roman" w:cs="Times New Roman"/>
          <w:sz w:val="24"/>
          <w:szCs w:val="24"/>
        </w:rPr>
        <w:t xml:space="preserve">declared only upon achievement of targets in all the above three areas. </w:t>
      </w:r>
      <w:r w:rsidR="00FC1FB9">
        <w:rPr>
          <w:rFonts w:ascii="Times New Roman" w:hAnsi="Times New Roman" w:cs="Times New Roman"/>
          <w:sz w:val="24"/>
          <w:szCs w:val="24"/>
        </w:rPr>
        <w:t>The award on annual bonus is based on both the individual and company performance. Linking variable pay to attainment of the individual’s short term professional goals would encourage the efforts toward these goals. Achievement of these goals contributes to the overall corporate objectives and financial performance. For profit oriented companies, linking award of variable pay to the key metrics of measure of financial performance ensures that the executives focus on meeting the targets sets for overall profitability.</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2109235219"/>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Bai21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(Baig, 2021)</w:t>
          </w:r>
          <w:r w:rsidR="00263B86">
            <w:rPr>
              <w:rFonts w:ascii="Times New Roman" w:hAnsi="Times New Roman" w:cs="Times New Roman"/>
              <w:sz w:val="24"/>
              <w:szCs w:val="24"/>
            </w:rPr>
            <w:fldChar w:fldCharType="end"/>
          </w:r>
        </w:sdtContent>
      </w:sdt>
    </w:p>
    <w:p w14:paraId="4CEEFBC5" w14:textId="118E505C" w:rsidR="00FC1FB9" w:rsidRDefault="00FC1FB9" w:rsidP="0009575C">
      <w:pPr>
        <w:spacing w:line="360" w:lineRule="auto"/>
        <w:jc w:val="both"/>
        <w:rPr>
          <w:rFonts w:ascii="Times New Roman" w:hAnsi="Times New Roman" w:cs="Times New Roman"/>
          <w:b/>
          <w:bCs/>
          <w:sz w:val="24"/>
          <w:szCs w:val="24"/>
        </w:rPr>
      </w:pPr>
      <w:r w:rsidRPr="00FC1FB9">
        <w:rPr>
          <w:rFonts w:ascii="Times New Roman" w:hAnsi="Times New Roman" w:cs="Times New Roman"/>
          <w:b/>
          <w:bCs/>
          <w:sz w:val="24"/>
          <w:szCs w:val="24"/>
        </w:rPr>
        <w:t>Performance Share Plan</w:t>
      </w:r>
      <w:r>
        <w:rPr>
          <w:rFonts w:ascii="Times New Roman" w:hAnsi="Times New Roman" w:cs="Times New Roman"/>
          <w:b/>
          <w:bCs/>
          <w:sz w:val="24"/>
          <w:szCs w:val="24"/>
        </w:rPr>
        <w:t>:</w:t>
      </w:r>
    </w:p>
    <w:p w14:paraId="1BAD98AA" w14:textId="0EFB0037" w:rsidR="00FC1FB9" w:rsidRDefault="00FC1FB9" w:rsidP="0009575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Tesco has implemented another variable pay component that is linked with achievement of targets set for financial performance including earnings per share and cumulative free cashflows. </w:t>
      </w:r>
      <w:r w:rsidR="00FE46B5">
        <w:rPr>
          <w:rFonts w:ascii="Times New Roman" w:hAnsi="Times New Roman" w:cs="Times New Roman"/>
          <w:sz w:val="24"/>
          <w:szCs w:val="24"/>
        </w:rPr>
        <w:t xml:space="preserve">Award of company shares to the executives aligns the interest of shareholders with interests of executives. These shares vest only after continued service for a required number of years, which ensures retention of key personnel. </w:t>
      </w:r>
      <w:r w:rsidR="00FF2A17">
        <w:rPr>
          <w:rFonts w:ascii="Times New Roman" w:hAnsi="Times New Roman" w:cs="Times New Roman"/>
          <w:sz w:val="24"/>
          <w:szCs w:val="24"/>
        </w:rPr>
        <w:t xml:space="preserve">The alignment of interests, executives would be motivated to improve the overall company performance for achievement of the financial targets and this would contribute meaningfully to the performance of the </w:t>
      </w:r>
      <w:r w:rsidR="005712B1">
        <w:rPr>
          <w:rFonts w:ascii="Times New Roman" w:hAnsi="Times New Roman" w:cs="Times New Roman"/>
          <w:sz w:val="24"/>
          <w:szCs w:val="24"/>
        </w:rPr>
        <w:t>organization</w:t>
      </w:r>
      <w:r w:rsidR="00FF2A17">
        <w:rPr>
          <w:rFonts w:ascii="Times New Roman" w:hAnsi="Times New Roman" w:cs="Times New Roman"/>
          <w:sz w:val="24"/>
          <w:szCs w:val="24"/>
        </w:rPr>
        <w:t>.</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2020385049"/>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Bai21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(Baig, 2021)</w:t>
          </w:r>
          <w:r w:rsidR="00263B86">
            <w:rPr>
              <w:rFonts w:ascii="Times New Roman" w:hAnsi="Times New Roman" w:cs="Times New Roman"/>
              <w:sz w:val="24"/>
              <w:szCs w:val="24"/>
            </w:rPr>
            <w:fldChar w:fldCharType="end"/>
          </w:r>
        </w:sdtContent>
      </w:sdt>
    </w:p>
    <w:p w14:paraId="1A19C8B7" w14:textId="3030068B" w:rsidR="006C510D" w:rsidRPr="00263B86" w:rsidRDefault="006C510D" w:rsidP="00263B86">
      <w:pPr>
        <w:pStyle w:val="Heading1"/>
        <w:pBdr>
          <w:bottom w:val="single" w:sz="18" w:space="1" w:color="000000" w:themeColor="text1"/>
        </w:pBdr>
        <w:spacing w:after="240" w:line="276" w:lineRule="auto"/>
        <w:rPr>
          <w:rFonts w:ascii="Bahnschrift SemiBold" w:hAnsi="Bahnschrift SemiBold" w:cs="Times New Roman"/>
          <w:b/>
          <w:bCs/>
          <w:color w:val="000000" w:themeColor="text1"/>
          <w:sz w:val="28"/>
          <w:szCs w:val="24"/>
        </w:rPr>
      </w:pPr>
      <w:bookmarkStart w:id="5" w:name="_Toc100105021"/>
      <w:r w:rsidRPr="00263B86">
        <w:rPr>
          <w:rFonts w:ascii="Bahnschrift SemiBold" w:hAnsi="Bahnschrift SemiBold" w:cs="Times New Roman"/>
          <w:b/>
          <w:bCs/>
          <w:color w:val="000000" w:themeColor="text1"/>
          <w:sz w:val="28"/>
          <w:szCs w:val="24"/>
        </w:rPr>
        <w:t>Question 4</w:t>
      </w:r>
      <w:bookmarkEnd w:id="5"/>
    </w:p>
    <w:p w14:paraId="29266DA3" w14:textId="545BE2CC" w:rsidR="00122699" w:rsidRDefault="00C658D1" w:rsidP="00EB25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Based on the scope of the role and perception of the executive’s ability to maximize value for stakeholders, every company designs its own unique pay structure to motivate and retain the executives. </w:t>
      </w:r>
      <w:r w:rsidR="00316D03">
        <w:rPr>
          <w:rFonts w:ascii="Times New Roman" w:hAnsi="Times New Roman" w:cs="Times New Roman"/>
          <w:sz w:val="24"/>
          <w:szCs w:val="24"/>
        </w:rPr>
        <w:t xml:space="preserve">One of the widely used theory of impact of executive compensation on corporate governance is the Agency theory. This theory suggests that executives act as agents of the </w:t>
      </w:r>
      <w:r w:rsidR="00D37596">
        <w:rPr>
          <w:rFonts w:ascii="Times New Roman" w:hAnsi="Times New Roman" w:cs="Times New Roman"/>
          <w:sz w:val="24"/>
          <w:szCs w:val="24"/>
        </w:rPr>
        <w:t>shareholders</w:t>
      </w:r>
      <w:r w:rsidR="00316D03">
        <w:rPr>
          <w:rFonts w:ascii="Times New Roman" w:hAnsi="Times New Roman" w:cs="Times New Roman"/>
          <w:sz w:val="24"/>
          <w:szCs w:val="24"/>
        </w:rPr>
        <w:t xml:space="preserve"> (principal) to manage the operations of the company. </w:t>
      </w:r>
      <w:r w:rsidR="0067342A">
        <w:rPr>
          <w:rFonts w:ascii="Times New Roman" w:hAnsi="Times New Roman" w:cs="Times New Roman"/>
          <w:sz w:val="24"/>
          <w:szCs w:val="24"/>
        </w:rPr>
        <w:t>Both of these stakeholder groups have their own set of expectations so their interest may be in conflict. Using the agency theory, the agents must be offered incentives to act in the best interest of the principals. This will ensure alignment of interests and more suitable compensation structure for the directors and wealth maximization for the shareholders. Agency theory can be used to design executive incentive plan by appropriately taking into account the interest of the shareholders and those of the directors and considering what interest will motivate the directors (agents) to act in best interests of the shareholders (principals). Any incentives that encourage the desired behavior shall be included and those encouraging the wrong behavior must be removed.</w:t>
      </w:r>
      <w:r w:rsidR="00263B86">
        <w:rPr>
          <w:rFonts w:ascii="Times New Roman" w:hAnsi="Times New Roman" w:cs="Times New Roman"/>
          <w:sz w:val="24"/>
          <w:szCs w:val="24"/>
        </w:rPr>
        <w:t xml:space="preserve"> </w:t>
      </w:r>
      <w:sdt>
        <w:sdtPr>
          <w:rPr>
            <w:rFonts w:ascii="Times New Roman" w:hAnsi="Times New Roman" w:cs="Times New Roman"/>
            <w:sz w:val="24"/>
            <w:szCs w:val="24"/>
          </w:rPr>
          <w:id w:val="-115834468"/>
          <w:citation/>
        </w:sdtPr>
        <w:sdtEndPr/>
        <w:sdtContent>
          <w:r w:rsidR="00263B86">
            <w:rPr>
              <w:rFonts w:ascii="Times New Roman" w:hAnsi="Times New Roman" w:cs="Times New Roman"/>
              <w:sz w:val="24"/>
              <w:szCs w:val="24"/>
            </w:rPr>
            <w:fldChar w:fldCharType="begin"/>
          </w:r>
          <w:r w:rsidR="00263B86">
            <w:rPr>
              <w:rFonts w:ascii="Times New Roman" w:hAnsi="Times New Roman" w:cs="Times New Roman"/>
              <w:sz w:val="24"/>
              <w:szCs w:val="24"/>
            </w:rPr>
            <w:instrText xml:space="preserve"> CITATION Aji20 \l 1033 </w:instrText>
          </w:r>
          <w:r w:rsidR="00263B86">
            <w:rPr>
              <w:rFonts w:ascii="Times New Roman" w:hAnsi="Times New Roman" w:cs="Times New Roman"/>
              <w:sz w:val="24"/>
              <w:szCs w:val="24"/>
            </w:rPr>
            <w:fldChar w:fldCharType="separate"/>
          </w:r>
          <w:r w:rsidR="00263B86" w:rsidRPr="00263B86">
            <w:rPr>
              <w:rFonts w:ascii="Times New Roman" w:hAnsi="Times New Roman" w:cs="Times New Roman"/>
              <w:noProof/>
              <w:sz w:val="24"/>
              <w:szCs w:val="24"/>
            </w:rPr>
            <w:t>(Ajid, 2020)</w:t>
          </w:r>
          <w:r w:rsidR="00263B86">
            <w:rPr>
              <w:rFonts w:ascii="Times New Roman" w:hAnsi="Times New Roman" w:cs="Times New Roman"/>
              <w:sz w:val="24"/>
              <w:szCs w:val="24"/>
            </w:rPr>
            <w:fldChar w:fldCharType="end"/>
          </w:r>
        </w:sdtContent>
      </w:sdt>
    </w:p>
    <w:p w14:paraId="38067B7A" w14:textId="5794DC6C" w:rsidR="0067342A" w:rsidRPr="00C658D1" w:rsidRDefault="0067342A" w:rsidP="00EB254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theory introduced the concept of agency loss, which can be measured as the difference between the optimal results that could have been achieved and the actual results achieved by the executives for the shareholders. To ensure that executives do not behave opportunistically at the expense of the shareholders, executive remuneration shall be linked to </w:t>
      </w:r>
      <w:r w:rsidR="006C510D">
        <w:rPr>
          <w:rFonts w:ascii="Times New Roman" w:hAnsi="Times New Roman" w:cs="Times New Roman"/>
          <w:sz w:val="24"/>
          <w:szCs w:val="24"/>
        </w:rPr>
        <w:t>corporate performance, as this will solve the problem by aligning shareholder interest with executive pay.</w:t>
      </w:r>
      <w:r w:rsidR="00263B86">
        <w:rPr>
          <w:rFonts w:ascii="Times New Roman" w:hAnsi="Times New Roman" w:cs="Times New Roman"/>
          <w:sz w:val="24"/>
          <w:szCs w:val="24"/>
        </w:rPr>
        <w:t xml:space="preserve"> </w:t>
      </w:r>
    </w:p>
    <w:p w14:paraId="7F3E7C79" w14:textId="1B3A22D9" w:rsidR="00122699" w:rsidRDefault="00122699" w:rsidP="00EB2547">
      <w:pPr>
        <w:spacing w:line="360" w:lineRule="auto"/>
        <w:jc w:val="both"/>
        <w:rPr>
          <w:rFonts w:ascii="Times New Roman" w:hAnsi="Times New Roman" w:cs="Times New Roman"/>
          <w:sz w:val="24"/>
          <w:szCs w:val="24"/>
        </w:rPr>
      </w:pPr>
    </w:p>
    <w:p w14:paraId="2057A019" w14:textId="5CA59A93" w:rsidR="00122699" w:rsidRDefault="00122699" w:rsidP="00EB2547">
      <w:pPr>
        <w:spacing w:line="360" w:lineRule="auto"/>
        <w:jc w:val="both"/>
        <w:rPr>
          <w:rFonts w:ascii="Times New Roman" w:hAnsi="Times New Roman" w:cs="Times New Roman"/>
          <w:sz w:val="24"/>
          <w:szCs w:val="24"/>
        </w:rPr>
      </w:pPr>
    </w:p>
    <w:p w14:paraId="5827DBC8" w14:textId="0C277475" w:rsidR="00122699" w:rsidRDefault="00122699" w:rsidP="00EB2547">
      <w:pPr>
        <w:spacing w:line="360" w:lineRule="auto"/>
        <w:jc w:val="both"/>
        <w:rPr>
          <w:rFonts w:ascii="Times New Roman" w:hAnsi="Times New Roman" w:cs="Times New Roman"/>
          <w:sz w:val="24"/>
          <w:szCs w:val="24"/>
        </w:rPr>
      </w:pPr>
    </w:p>
    <w:p w14:paraId="60B2615A" w14:textId="3ADC6B8F" w:rsidR="00B2196B" w:rsidRDefault="00B2196B" w:rsidP="00B2196B">
      <w:pPr>
        <w:spacing w:line="360" w:lineRule="auto"/>
        <w:jc w:val="both"/>
        <w:rPr>
          <w:rFonts w:ascii="Times New Roman" w:hAnsi="Times New Roman" w:cs="Times New Roman"/>
          <w:sz w:val="24"/>
          <w:szCs w:val="24"/>
        </w:rPr>
      </w:pPr>
    </w:p>
    <w:bookmarkStart w:id="6" w:name="_Toc100105022" w:displacedByCustomXml="next"/>
    <w:sdt>
      <w:sdtPr>
        <w:rPr>
          <w:rFonts w:asciiTheme="minorHAnsi" w:eastAsiaTheme="minorHAnsi" w:hAnsiTheme="minorHAnsi" w:cstheme="minorBidi"/>
          <w:color w:val="auto"/>
          <w:sz w:val="22"/>
          <w:szCs w:val="22"/>
        </w:rPr>
        <w:id w:val="-901602235"/>
        <w:docPartObj>
          <w:docPartGallery w:val="Bibliographies"/>
          <w:docPartUnique/>
        </w:docPartObj>
      </w:sdtPr>
      <w:sdtEndPr/>
      <w:sdtContent>
        <w:p w14:paraId="20FC1A19" w14:textId="79D7C15A" w:rsidR="00263B86" w:rsidRPr="00263B86" w:rsidRDefault="00263B86" w:rsidP="000D248F">
          <w:pPr>
            <w:pStyle w:val="Heading1"/>
            <w:spacing w:after="240"/>
            <w:rPr>
              <w:rFonts w:ascii="Bahnschrift SemiBold" w:hAnsi="Bahnschrift SemiBold" w:cs="Times New Roman"/>
              <w:b/>
              <w:bCs/>
              <w:color w:val="000000" w:themeColor="text1"/>
              <w:sz w:val="28"/>
              <w:szCs w:val="24"/>
            </w:rPr>
          </w:pPr>
          <w:r w:rsidRPr="00263B86">
            <w:rPr>
              <w:rFonts w:ascii="Bahnschrift SemiBold" w:hAnsi="Bahnschrift SemiBold" w:cs="Times New Roman"/>
              <w:b/>
              <w:bCs/>
              <w:color w:val="000000" w:themeColor="text1"/>
              <w:sz w:val="28"/>
              <w:szCs w:val="24"/>
            </w:rPr>
            <w:t>References</w:t>
          </w:r>
          <w:bookmarkEnd w:id="6"/>
        </w:p>
        <w:sdt>
          <w:sdtPr>
            <w:id w:val="-573587230"/>
            <w:bibliography/>
          </w:sdtPr>
          <w:sdtEndPr/>
          <w:sdtContent>
            <w:p w14:paraId="7A5C59B5" w14:textId="77777777" w:rsidR="00263B86" w:rsidRDefault="00263B86" w:rsidP="00263B86">
              <w:pPr>
                <w:pStyle w:val="Bibliography"/>
                <w:ind w:left="720" w:hanging="720"/>
                <w:rPr>
                  <w:noProof/>
                  <w:sz w:val="24"/>
                  <w:szCs w:val="24"/>
                </w:rPr>
              </w:pPr>
              <w:r>
                <w:fldChar w:fldCharType="begin"/>
              </w:r>
              <w:r>
                <w:instrText xml:space="preserve"> BIBLIOGRAPHY </w:instrText>
              </w:r>
              <w:r>
                <w:fldChar w:fldCharType="separate"/>
              </w:r>
              <w:r>
                <w:rPr>
                  <w:noProof/>
                </w:rPr>
                <w:t xml:space="preserve">Abdus, S. E. (2021). Determinants of the quality of external board evaluation in the UK. </w:t>
              </w:r>
              <w:r>
                <w:rPr>
                  <w:i/>
                  <w:iCs/>
                  <w:noProof/>
                </w:rPr>
                <w:t>Corporate Governance</w:t>
              </w:r>
              <w:r>
                <w:rPr>
                  <w:noProof/>
                </w:rPr>
                <w:t>. Retrieved from Corporate Governance.</w:t>
              </w:r>
            </w:p>
            <w:p w14:paraId="43EA66DF" w14:textId="77777777" w:rsidR="00263B86" w:rsidRDefault="00263B86" w:rsidP="00263B86">
              <w:pPr>
                <w:pStyle w:val="Bibliography"/>
                <w:ind w:left="720" w:hanging="720"/>
                <w:rPr>
                  <w:noProof/>
                </w:rPr>
              </w:pPr>
              <w:r>
                <w:rPr>
                  <w:noProof/>
                </w:rPr>
                <w:t xml:space="preserve">Ajid, u. R. (2020). Executive remuneration, corporate governance and corporate performance: Evidence from China. </w:t>
              </w:r>
              <w:r>
                <w:rPr>
                  <w:i/>
                  <w:iCs/>
                  <w:noProof/>
                </w:rPr>
                <w:t>Economic Research</w:t>
              </w:r>
              <w:r>
                <w:rPr>
                  <w:noProof/>
                </w:rPr>
                <w:t>.</w:t>
              </w:r>
            </w:p>
            <w:p w14:paraId="12794511" w14:textId="77777777" w:rsidR="00263B86" w:rsidRDefault="00263B86" w:rsidP="00263B86">
              <w:pPr>
                <w:pStyle w:val="Bibliography"/>
                <w:ind w:left="720" w:hanging="720"/>
                <w:rPr>
                  <w:noProof/>
                </w:rPr>
              </w:pPr>
              <w:r>
                <w:rPr>
                  <w:noProof/>
                </w:rPr>
                <w:t xml:space="preserve">Baig, M. (2021). </w:t>
              </w:r>
              <w:r>
                <w:rPr>
                  <w:i/>
                  <w:iCs/>
                  <w:noProof/>
                </w:rPr>
                <w:t>Code of Corporate Governance UK.</w:t>
              </w:r>
              <w:r>
                <w:rPr>
                  <w:noProof/>
                </w:rPr>
                <w:t xml:space="preserve"> United Kingdom: The Investment Association.</w:t>
              </w:r>
            </w:p>
            <w:p w14:paraId="515B5EAA" w14:textId="77777777" w:rsidR="00263B86" w:rsidRDefault="00263B86" w:rsidP="00263B86">
              <w:pPr>
                <w:pStyle w:val="Bibliography"/>
                <w:ind w:left="720" w:hanging="720"/>
                <w:rPr>
                  <w:noProof/>
                </w:rPr>
              </w:pPr>
              <w:r>
                <w:rPr>
                  <w:noProof/>
                </w:rPr>
                <w:t xml:space="preserve">Charles, H. M. (2020). Executive remuneration and the limits of disclosure as an instrument of corporate governance. </w:t>
              </w:r>
              <w:r>
                <w:rPr>
                  <w:i/>
                  <w:iCs/>
                  <w:noProof/>
                </w:rPr>
                <w:t>Critical Perspectives on Accounting</w:t>
              </w:r>
              <w:r>
                <w:rPr>
                  <w:noProof/>
                </w:rPr>
                <w:t>.</w:t>
              </w:r>
            </w:p>
            <w:p w14:paraId="394B7028" w14:textId="77777777" w:rsidR="00263B86" w:rsidRDefault="00263B86" w:rsidP="00263B86">
              <w:pPr>
                <w:pStyle w:val="Bibliography"/>
                <w:ind w:left="720" w:hanging="720"/>
                <w:rPr>
                  <w:noProof/>
                </w:rPr>
              </w:pPr>
              <w:r>
                <w:rPr>
                  <w:noProof/>
                </w:rPr>
                <w:t xml:space="preserve">Delloitte. (2021). </w:t>
              </w:r>
              <w:r>
                <w:rPr>
                  <w:i/>
                  <w:iCs/>
                  <w:noProof/>
                </w:rPr>
                <w:t>UK Corporate Governance Code</w:t>
              </w:r>
              <w:r>
                <w:rPr>
                  <w:noProof/>
                </w:rPr>
                <w:t>. Retrieved from Delloitte: https://www.iasplus.com/en-gb/standards/corporate-governance/uk-corporate-governance-code#:~:text=Division%20of%20responsibilities%3A%20There%20should,the%20board%20should%20be%20appropriate.</w:t>
              </w:r>
            </w:p>
            <w:p w14:paraId="1E1A848D" w14:textId="77777777" w:rsidR="00263B86" w:rsidRDefault="00263B86" w:rsidP="00263B86">
              <w:pPr>
                <w:pStyle w:val="Bibliography"/>
                <w:ind w:left="720" w:hanging="720"/>
                <w:rPr>
                  <w:noProof/>
                </w:rPr>
              </w:pPr>
              <w:r>
                <w:rPr>
                  <w:noProof/>
                </w:rPr>
                <w:t xml:space="preserve">Fisnik, M. S. (2021). The Performance of Pension Funds and Their Impact on Economic Growth in OECD Countries. </w:t>
              </w:r>
              <w:r>
                <w:rPr>
                  <w:i/>
                  <w:iCs/>
                  <w:noProof/>
                </w:rPr>
                <w:t>New Challenges for Future Sustainability and Wellbeing</w:t>
              </w:r>
              <w:r>
                <w:rPr>
                  <w:noProof/>
                </w:rPr>
                <w:t>.</w:t>
              </w:r>
            </w:p>
            <w:p w14:paraId="7A5BDCC7" w14:textId="77777777" w:rsidR="00263B86" w:rsidRDefault="00263B86" w:rsidP="00263B86">
              <w:pPr>
                <w:pStyle w:val="Bibliography"/>
                <w:ind w:left="720" w:hanging="720"/>
                <w:rPr>
                  <w:noProof/>
                </w:rPr>
              </w:pPr>
              <w:r>
                <w:rPr>
                  <w:noProof/>
                </w:rPr>
                <w:t xml:space="preserve">FRC. (2018). FRC UK corporate governance code. </w:t>
              </w:r>
              <w:r>
                <w:rPr>
                  <w:i/>
                  <w:iCs/>
                  <w:noProof/>
                </w:rPr>
                <w:t>FRC UK corporate governance code</w:t>
              </w:r>
              <w:r>
                <w:rPr>
                  <w:noProof/>
                </w:rPr>
                <w:t>, 1-20.</w:t>
              </w:r>
            </w:p>
            <w:p w14:paraId="3131AA0B" w14:textId="77777777" w:rsidR="00263B86" w:rsidRDefault="00263B86" w:rsidP="00263B86">
              <w:pPr>
                <w:pStyle w:val="Bibliography"/>
                <w:ind w:left="720" w:hanging="720"/>
                <w:rPr>
                  <w:noProof/>
                </w:rPr>
              </w:pPr>
              <w:r>
                <w:rPr>
                  <w:noProof/>
                </w:rPr>
                <w:t xml:space="preserve">Gilbert, S. A. (2022). A SUCCESSION PLANNING MODEL FOR ACADEMIC HEADS. </w:t>
              </w:r>
              <w:r>
                <w:rPr>
                  <w:i/>
                  <w:iCs/>
                  <w:noProof/>
                </w:rPr>
                <w:t>Journal Penjaminan Mutu</w:t>
              </w:r>
              <w:r>
                <w:rPr>
                  <w:noProof/>
                </w:rPr>
                <w:t>.</w:t>
              </w:r>
            </w:p>
            <w:p w14:paraId="59552343" w14:textId="77777777" w:rsidR="00263B86" w:rsidRDefault="00263B86" w:rsidP="00263B86">
              <w:pPr>
                <w:pStyle w:val="Bibliography"/>
                <w:ind w:left="720" w:hanging="720"/>
                <w:rPr>
                  <w:noProof/>
                </w:rPr>
              </w:pPr>
              <w:r>
                <w:rPr>
                  <w:noProof/>
                </w:rPr>
                <w:t xml:space="preserve">ICAEW. (2020). </w:t>
              </w:r>
              <w:r>
                <w:rPr>
                  <w:i/>
                  <w:iCs/>
                  <w:noProof/>
                </w:rPr>
                <w:t>UK Corporate Governance Code</w:t>
              </w:r>
              <w:r>
                <w:rPr>
                  <w:noProof/>
                </w:rPr>
                <w:t>. Retrieved from ICAEW: https://www.icaew.com/technical/corporate-governance/codes-and-reports/uk-corporate-governance-code#:~:text=The%20UK%20Corporate%20Governance%20Code,Financial%20Reporting%20Council%20(FRC).</w:t>
              </w:r>
            </w:p>
            <w:p w14:paraId="3236B52E" w14:textId="77777777" w:rsidR="00263B86" w:rsidRDefault="00263B86" w:rsidP="00263B86">
              <w:pPr>
                <w:pStyle w:val="Bibliography"/>
                <w:ind w:left="720" w:hanging="720"/>
                <w:rPr>
                  <w:noProof/>
                </w:rPr>
              </w:pPr>
              <w:r>
                <w:rPr>
                  <w:noProof/>
                </w:rPr>
                <w:t xml:space="preserve">Laila, A. A. (2021). Attributes of corporate boards and assurance of corporate social responsibility reporting: evidence from the UK. </w:t>
              </w:r>
              <w:r>
                <w:rPr>
                  <w:i/>
                  <w:iCs/>
                  <w:noProof/>
                </w:rPr>
                <w:t>Corporate Governance</w:t>
              </w:r>
              <w:r>
                <w:rPr>
                  <w:noProof/>
                </w:rPr>
                <w:t>, 1472-0701.</w:t>
              </w:r>
            </w:p>
            <w:p w14:paraId="77D17881" w14:textId="77777777" w:rsidR="00263B86" w:rsidRDefault="00263B86" w:rsidP="00263B86">
              <w:pPr>
                <w:pStyle w:val="Bibliography"/>
                <w:ind w:left="720" w:hanging="720"/>
                <w:rPr>
                  <w:noProof/>
                </w:rPr>
              </w:pPr>
              <w:r>
                <w:rPr>
                  <w:noProof/>
                </w:rPr>
                <w:t xml:space="preserve">LexisPSL. (2021). </w:t>
              </w:r>
              <w:r>
                <w:rPr>
                  <w:i/>
                  <w:iCs/>
                  <w:noProof/>
                </w:rPr>
                <w:t>2018 UK Corporate Governance Code—Section 3—Composition, succession and evaluation</w:t>
              </w:r>
              <w:r>
                <w:rPr>
                  <w:noProof/>
                </w:rPr>
                <w:t>. Retrieved from LexisPSL: https://www.lexisnexis.co.uk/legal/guidance/2018-uk-corporate-governance-code-section-3-composition-succession-evaluation</w:t>
              </w:r>
            </w:p>
            <w:p w14:paraId="3A08E20D" w14:textId="77777777" w:rsidR="00263B86" w:rsidRDefault="00263B86" w:rsidP="00263B86">
              <w:pPr>
                <w:pStyle w:val="Bibliography"/>
                <w:ind w:left="720" w:hanging="720"/>
                <w:rPr>
                  <w:noProof/>
                </w:rPr>
              </w:pPr>
              <w:r>
                <w:rPr>
                  <w:noProof/>
                </w:rPr>
                <w:t xml:space="preserve">Marius, S. C. (2020). Innovative designs of building energy codes for building decarbonization and their implementation challenges. </w:t>
              </w:r>
              <w:r>
                <w:rPr>
                  <w:i/>
                  <w:iCs/>
                  <w:noProof/>
                </w:rPr>
                <w:t>Journal of Cleaner Production</w:t>
              </w:r>
              <w:r>
                <w:rPr>
                  <w:noProof/>
                </w:rPr>
                <w:t>.</w:t>
              </w:r>
            </w:p>
            <w:p w14:paraId="01D4E9DD" w14:textId="77777777" w:rsidR="00263B86" w:rsidRDefault="00263B86" w:rsidP="00263B86">
              <w:pPr>
                <w:pStyle w:val="Bibliography"/>
                <w:ind w:left="720" w:hanging="720"/>
                <w:rPr>
                  <w:noProof/>
                </w:rPr>
              </w:pPr>
              <w:r>
                <w:rPr>
                  <w:noProof/>
                </w:rPr>
                <w:lastRenderedPageBreak/>
                <w:t xml:space="preserve">Rahman, S. M. (2021). Three essays on Earnings Management Evidence from UK. </w:t>
              </w:r>
              <w:r>
                <w:rPr>
                  <w:i/>
                  <w:iCs/>
                  <w:noProof/>
                </w:rPr>
                <w:t>Brunel University London</w:t>
              </w:r>
              <w:r>
                <w:rPr>
                  <w:noProof/>
                </w:rPr>
                <w:t>.</w:t>
              </w:r>
            </w:p>
            <w:p w14:paraId="601C6E4B" w14:textId="77777777" w:rsidR="00263B86" w:rsidRDefault="00263B86" w:rsidP="00263B86">
              <w:pPr>
                <w:pStyle w:val="Bibliography"/>
                <w:ind w:left="720" w:hanging="720"/>
                <w:rPr>
                  <w:noProof/>
                </w:rPr>
              </w:pPr>
              <w:r>
                <w:rPr>
                  <w:noProof/>
                </w:rPr>
                <w:t xml:space="preserve">Ramalho, A. (2020). The distinctive stance of the King Reports on corporate governance from a global perspective. </w:t>
              </w:r>
              <w:r>
                <w:rPr>
                  <w:i/>
                  <w:iCs/>
                  <w:noProof/>
                </w:rPr>
                <w:t>Journal of Global Responsibility</w:t>
              </w:r>
              <w:r>
                <w:rPr>
                  <w:noProof/>
                </w:rPr>
                <w:t>.</w:t>
              </w:r>
            </w:p>
            <w:p w14:paraId="3DC01721" w14:textId="77777777" w:rsidR="00263B86" w:rsidRDefault="00263B86" w:rsidP="00263B86">
              <w:pPr>
                <w:pStyle w:val="Bibliography"/>
                <w:ind w:left="720" w:hanging="720"/>
                <w:rPr>
                  <w:noProof/>
                </w:rPr>
              </w:pPr>
              <w:r>
                <w:rPr>
                  <w:noProof/>
                </w:rPr>
                <w:t xml:space="preserve">Roberts, J. (2020). The UK Corporate Governance Code Principle of ‘Comply or Explain’: Understanding Code Compliance as ‘Subjection’. </w:t>
              </w:r>
              <w:r>
                <w:rPr>
                  <w:i/>
                  <w:iCs/>
                  <w:noProof/>
                </w:rPr>
                <w:t>ABACUS</w:t>
              </w:r>
              <w:r>
                <w:rPr>
                  <w:noProof/>
                </w:rPr>
                <w:t>, 602-626. Retrieved from ABACUS.</w:t>
              </w:r>
            </w:p>
            <w:p w14:paraId="0D441C57" w14:textId="77777777" w:rsidR="00263B86" w:rsidRDefault="00263B86" w:rsidP="00263B86">
              <w:pPr>
                <w:pStyle w:val="Bibliography"/>
                <w:ind w:left="720" w:hanging="720"/>
                <w:rPr>
                  <w:noProof/>
                </w:rPr>
              </w:pPr>
              <w:r>
                <w:rPr>
                  <w:noProof/>
                </w:rPr>
                <w:t xml:space="preserve">Tesco. (2021). </w:t>
              </w:r>
              <w:r>
                <w:rPr>
                  <w:i/>
                  <w:iCs/>
                  <w:noProof/>
                </w:rPr>
                <w:t>Annual Financial Report.</w:t>
              </w:r>
              <w:r>
                <w:rPr>
                  <w:noProof/>
                </w:rPr>
                <w:t xml:space="preserve"> United Kingdom: Tesco.</w:t>
              </w:r>
            </w:p>
            <w:p w14:paraId="0281E7A2" w14:textId="5EABA4A2" w:rsidR="00263B86" w:rsidRDefault="00263B86" w:rsidP="00263B86">
              <w:r>
                <w:rPr>
                  <w:b/>
                  <w:bCs/>
                  <w:noProof/>
                </w:rPr>
                <w:fldChar w:fldCharType="end"/>
              </w:r>
            </w:p>
          </w:sdtContent>
        </w:sdt>
      </w:sdtContent>
    </w:sdt>
    <w:p w14:paraId="351712B5" w14:textId="77777777" w:rsidR="00263B86" w:rsidRDefault="00263B86" w:rsidP="00B2196B">
      <w:pPr>
        <w:spacing w:line="360" w:lineRule="auto"/>
        <w:jc w:val="both"/>
        <w:rPr>
          <w:rFonts w:ascii="Times New Roman" w:hAnsi="Times New Roman" w:cs="Times New Roman"/>
          <w:sz w:val="24"/>
          <w:szCs w:val="24"/>
        </w:rPr>
      </w:pPr>
    </w:p>
    <w:p w14:paraId="7BB9BBA2" w14:textId="77777777" w:rsidR="00B2196B" w:rsidRPr="00B2196B" w:rsidRDefault="00B2196B" w:rsidP="00B2196B">
      <w:pPr>
        <w:spacing w:line="360" w:lineRule="auto"/>
        <w:jc w:val="both"/>
        <w:rPr>
          <w:rFonts w:ascii="Times New Roman" w:hAnsi="Times New Roman" w:cs="Times New Roman"/>
          <w:sz w:val="24"/>
          <w:szCs w:val="24"/>
        </w:rPr>
      </w:pPr>
    </w:p>
    <w:sectPr w:rsidR="00B2196B" w:rsidRPr="00B2196B" w:rsidSect="000D248F">
      <w:footerReference w:type="default" r:id="rId9"/>
      <w:pgSz w:w="12240" w:h="15840"/>
      <w:pgMar w:top="1440" w:right="1440" w:bottom="1440" w:left="1440" w:header="720" w:footer="720" w:gutter="0"/>
      <w:pgBorders w:offsetFrom="page">
        <w:top w:val="single" w:sz="18" w:space="0" w:color="auto"/>
        <w:left w:val="single" w:sz="18" w:space="0" w:color="auto"/>
        <w:bottom w:val="single" w:sz="18" w:space="0" w:color="auto"/>
        <w:right w:val="single" w:sz="18" w:space="0"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4D6ECC" w14:textId="77777777" w:rsidR="00CB21B8" w:rsidRDefault="00CB21B8" w:rsidP="00D530BB">
      <w:pPr>
        <w:spacing w:after="0" w:line="240" w:lineRule="auto"/>
      </w:pPr>
      <w:r>
        <w:separator/>
      </w:r>
    </w:p>
  </w:endnote>
  <w:endnote w:type="continuationSeparator" w:id="0">
    <w:p w14:paraId="262B4C5A" w14:textId="77777777" w:rsidR="00CB21B8" w:rsidRDefault="00CB21B8" w:rsidP="00D53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right"/>
      <w:tblCellMar>
        <w:top w:w="115" w:type="dxa"/>
        <w:left w:w="115" w:type="dxa"/>
        <w:bottom w:w="115" w:type="dxa"/>
        <w:right w:w="115" w:type="dxa"/>
      </w:tblCellMar>
      <w:tblLook w:val="04A0" w:firstRow="1" w:lastRow="0" w:firstColumn="1" w:lastColumn="0" w:noHBand="0" w:noVBand="1"/>
    </w:tblPr>
    <w:tblGrid>
      <w:gridCol w:w="8892"/>
      <w:gridCol w:w="468"/>
    </w:tblGrid>
    <w:tr w:rsidR="000D248F" w14:paraId="6FD730D6" w14:textId="77777777" w:rsidTr="000D248F">
      <w:trPr>
        <w:jc w:val="right"/>
      </w:trPr>
      <w:tc>
        <w:tcPr>
          <w:tcW w:w="4795" w:type="dxa"/>
          <w:vAlign w:val="center"/>
        </w:tcPr>
        <w:sdt>
          <w:sdtPr>
            <w:rPr>
              <w:caps/>
              <w:color w:val="000000" w:themeColor="text1"/>
            </w:rPr>
            <w:alias w:val="Author"/>
            <w:tag w:val=""/>
            <w:id w:val="1534539408"/>
            <w:placeholder>
              <w:docPart w:val="35683DD39B33419A8EB00DC3B2EB7D44"/>
            </w:placeholder>
            <w:dataBinding w:prefixMappings="xmlns:ns0='http://purl.org/dc/elements/1.1/' xmlns:ns1='http://schemas.openxmlformats.org/package/2006/metadata/core-properties' " w:xpath="/ns1:coreProperties[1]/ns0:creator[1]" w:storeItemID="{6C3C8BC8-F283-45AE-878A-BAB7291924A1}"/>
            <w:text/>
          </w:sdtPr>
          <w:sdtEndPr/>
          <w:sdtContent>
            <w:p w14:paraId="0D0B7748" w14:textId="520F538A" w:rsidR="000D248F" w:rsidRDefault="000D248F" w:rsidP="000D248F">
              <w:pPr>
                <w:pStyle w:val="Header"/>
                <w:jc w:val="right"/>
                <w:rPr>
                  <w:caps/>
                  <w:color w:val="000000" w:themeColor="text1"/>
                </w:rPr>
              </w:pPr>
              <w:r>
                <w:rPr>
                  <w:caps/>
                  <w:color w:val="000000" w:themeColor="text1"/>
                </w:rPr>
                <w:t>Code of Corporate Governance indiviual assignment</w:t>
              </w:r>
            </w:p>
          </w:sdtContent>
        </w:sdt>
      </w:tc>
      <w:tc>
        <w:tcPr>
          <w:tcW w:w="250" w:type="pct"/>
          <w:shd w:val="clear" w:color="auto" w:fill="000000" w:themeFill="text1"/>
          <w:vAlign w:val="center"/>
        </w:tcPr>
        <w:p w14:paraId="0BEBCAFE" w14:textId="6FCA75C0" w:rsidR="000D248F" w:rsidRDefault="000D248F">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DE7CEE">
            <w:rPr>
              <w:noProof/>
              <w:color w:val="FFFFFF" w:themeColor="background1"/>
            </w:rPr>
            <w:t>2</w:t>
          </w:r>
          <w:r>
            <w:rPr>
              <w:noProof/>
              <w:color w:val="FFFFFF" w:themeColor="background1"/>
            </w:rPr>
            <w:fldChar w:fldCharType="end"/>
          </w:r>
        </w:p>
      </w:tc>
    </w:tr>
  </w:tbl>
  <w:p w14:paraId="63E171D1" w14:textId="3BE136CB" w:rsidR="0067342A" w:rsidRDefault="006734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B3C7D6" w14:textId="77777777" w:rsidR="00CB21B8" w:rsidRDefault="00CB21B8" w:rsidP="00D530BB">
      <w:pPr>
        <w:spacing w:after="0" w:line="240" w:lineRule="auto"/>
      </w:pPr>
      <w:r>
        <w:separator/>
      </w:r>
    </w:p>
  </w:footnote>
  <w:footnote w:type="continuationSeparator" w:id="0">
    <w:p w14:paraId="36521BDB" w14:textId="77777777" w:rsidR="00CB21B8" w:rsidRDefault="00CB21B8" w:rsidP="00D530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10C09"/>
    <w:multiLevelType w:val="hybridMultilevel"/>
    <w:tmpl w:val="B7BAED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6E1AB5"/>
    <w:multiLevelType w:val="hybridMultilevel"/>
    <w:tmpl w:val="9BDE3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645953"/>
    <w:multiLevelType w:val="hybridMultilevel"/>
    <w:tmpl w:val="3834A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8E2E6F"/>
    <w:multiLevelType w:val="hybridMultilevel"/>
    <w:tmpl w:val="B7BAED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592BAE"/>
    <w:multiLevelType w:val="hybridMultilevel"/>
    <w:tmpl w:val="BD341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1B697F"/>
    <w:multiLevelType w:val="hybridMultilevel"/>
    <w:tmpl w:val="1292B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993D50"/>
    <w:multiLevelType w:val="hybridMultilevel"/>
    <w:tmpl w:val="CDB06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A44459"/>
    <w:multiLevelType w:val="hybridMultilevel"/>
    <w:tmpl w:val="B86A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11579D"/>
    <w:multiLevelType w:val="hybridMultilevel"/>
    <w:tmpl w:val="D7A43974"/>
    <w:lvl w:ilvl="0" w:tplc="BE7E8588">
      <w:start w:val="743"/>
      <w:numFmt w:val="bullet"/>
      <w:lvlText w:val="-"/>
      <w:lvlJc w:val="left"/>
      <w:pPr>
        <w:ind w:left="720" w:hanging="36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316A7C"/>
    <w:multiLevelType w:val="hybridMultilevel"/>
    <w:tmpl w:val="E508F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F15144"/>
    <w:multiLevelType w:val="hybridMultilevel"/>
    <w:tmpl w:val="BC827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09146E"/>
    <w:multiLevelType w:val="hybridMultilevel"/>
    <w:tmpl w:val="FEC20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0D77E3"/>
    <w:multiLevelType w:val="hybridMultilevel"/>
    <w:tmpl w:val="4656D6DA"/>
    <w:lvl w:ilvl="0" w:tplc="22FA45E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633A4F"/>
    <w:multiLevelType w:val="multilevel"/>
    <w:tmpl w:val="9E38625A"/>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b/>
        <w:bCs w:val="0"/>
        <w:color w:val="002060"/>
        <w:sz w:val="28"/>
        <w:szCs w:val="28"/>
        <w14:props3d w14:extrusionH="0" w14:contourW="0" w14:prstMaterial="matte"/>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EC20C9B"/>
    <w:multiLevelType w:val="hybridMultilevel"/>
    <w:tmpl w:val="7B38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EC6398"/>
    <w:multiLevelType w:val="hybridMultilevel"/>
    <w:tmpl w:val="FEA49822"/>
    <w:lvl w:ilvl="0" w:tplc="BE7E8588">
      <w:start w:val="743"/>
      <w:numFmt w:val="bullet"/>
      <w:lvlText w:val="-"/>
      <w:lvlJc w:val="left"/>
      <w:pPr>
        <w:ind w:left="720" w:hanging="36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917D3F"/>
    <w:multiLevelType w:val="hybridMultilevel"/>
    <w:tmpl w:val="BC827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935990"/>
    <w:multiLevelType w:val="multilevel"/>
    <w:tmpl w:val="9BC445C6"/>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hint="default"/>
        <w:b/>
        <w:bCs/>
        <w:color w:val="000000" w:themeColor="text1"/>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14830C4"/>
    <w:multiLevelType w:val="hybridMultilevel"/>
    <w:tmpl w:val="B7BAED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157044"/>
    <w:multiLevelType w:val="hybridMultilevel"/>
    <w:tmpl w:val="51FA34CA"/>
    <w:lvl w:ilvl="0" w:tplc="BE7E8588">
      <w:start w:val="743"/>
      <w:numFmt w:val="bullet"/>
      <w:lvlText w:val="-"/>
      <w:lvlJc w:val="left"/>
      <w:pPr>
        <w:ind w:left="720" w:hanging="36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0"/>
  </w:num>
  <w:num w:numId="3">
    <w:abstractNumId w:val="3"/>
  </w:num>
  <w:num w:numId="4">
    <w:abstractNumId w:val="18"/>
  </w:num>
  <w:num w:numId="5">
    <w:abstractNumId w:val="15"/>
  </w:num>
  <w:num w:numId="6">
    <w:abstractNumId w:val="8"/>
  </w:num>
  <w:num w:numId="7">
    <w:abstractNumId w:val="16"/>
  </w:num>
  <w:num w:numId="8">
    <w:abstractNumId w:val="10"/>
  </w:num>
  <w:num w:numId="9">
    <w:abstractNumId w:val="17"/>
  </w:num>
  <w:num w:numId="10">
    <w:abstractNumId w:val="6"/>
  </w:num>
  <w:num w:numId="11">
    <w:abstractNumId w:val="5"/>
  </w:num>
  <w:num w:numId="12">
    <w:abstractNumId w:val="4"/>
  </w:num>
  <w:num w:numId="13">
    <w:abstractNumId w:val="1"/>
  </w:num>
  <w:num w:numId="14">
    <w:abstractNumId w:val="12"/>
  </w:num>
  <w:num w:numId="15">
    <w:abstractNumId w:val="11"/>
  </w:num>
  <w:num w:numId="16">
    <w:abstractNumId w:val="7"/>
  </w:num>
  <w:num w:numId="17">
    <w:abstractNumId w:val="9"/>
  </w:num>
  <w:num w:numId="18">
    <w:abstractNumId w:val="2"/>
  </w:num>
  <w:num w:numId="19">
    <w:abstractNumId w:val="13"/>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A9"/>
    <w:rsid w:val="000010F2"/>
    <w:rsid w:val="00003073"/>
    <w:rsid w:val="00004096"/>
    <w:rsid w:val="000103D4"/>
    <w:rsid w:val="000105EC"/>
    <w:rsid w:val="00010B9C"/>
    <w:rsid w:val="00015140"/>
    <w:rsid w:val="00016901"/>
    <w:rsid w:val="000240A0"/>
    <w:rsid w:val="00030772"/>
    <w:rsid w:val="0003466C"/>
    <w:rsid w:val="000367C2"/>
    <w:rsid w:val="00036B39"/>
    <w:rsid w:val="00050694"/>
    <w:rsid w:val="00050A41"/>
    <w:rsid w:val="00051601"/>
    <w:rsid w:val="000519A7"/>
    <w:rsid w:val="000546A1"/>
    <w:rsid w:val="0006399F"/>
    <w:rsid w:val="000654DA"/>
    <w:rsid w:val="000674A2"/>
    <w:rsid w:val="00073328"/>
    <w:rsid w:val="00076D33"/>
    <w:rsid w:val="0007750F"/>
    <w:rsid w:val="000874F3"/>
    <w:rsid w:val="00090160"/>
    <w:rsid w:val="0009313E"/>
    <w:rsid w:val="0009575C"/>
    <w:rsid w:val="000969C4"/>
    <w:rsid w:val="000A14C0"/>
    <w:rsid w:val="000A45A3"/>
    <w:rsid w:val="000A5ADB"/>
    <w:rsid w:val="000B5224"/>
    <w:rsid w:val="000B5C39"/>
    <w:rsid w:val="000B6F00"/>
    <w:rsid w:val="000B7EEE"/>
    <w:rsid w:val="000C0C79"/>
    <w:rsid w:val="000C2119"/>
    <w:rsid w:val="000D248F"/>
    <w:rsid w:val="000D6EFC"/>
    <w:rsid w:val="000D7124"/>
    <w:rsid w:val="000E37BF"/>
    <w:rsid w:val="000E38E2"/>
    <w:rsid w:val="000E6C83"/>
    <w:rsid w:val="000F0505"/>
    <w:rsid w:val="000F1A2E"/>
    <w:rsid w:val="000F3005"/>
    <w:rsid w:val="000F7FE3"/>
    <w:rsid w:val="0010067A"/>
    <w:rsid w:val="00100738"/>
    <w:rsid w:val="00102524"/>
    <w:rsid w:val="001137C1"/>
    <w:rsid w:val="0011486A"/>
    <w:rsid w:val="00115D95"/>
    <w:rsid w:val="00122699"/>
    <w:rsid w:val="00124171"/>
    <w:rsid w:val="00124421"/>
    <w:rsid w:val="00125DAF"/>
    <w:rsid w:val="00130F22"/>
    <w:rsid w:val="00131061"/>
    <w:rsid w:val="001329B3"/>
    <w:rsid w:val="00132BE1"/>
    <w:rsid w:val="00135D9B"/>
    <w:rsid w:val="00136EE9"/>
    <w:rsid w:val="00137420"/>
    <w:rsid w:val="001403A7"/>
    <w:rsid w:val="001416AC"/>
    <w:rsid w:val="001426CA"/>
    <w:rsid w:val="001436C8"/>
    <w:rsid w:val="001467C3"/>
    <w:rsid w:val="00151C06"/>
    <w:rsid w:val="00175CAD"/>
    <w:rsid w:val="00177A95"/>
    <w:rsid w:val="0018087A"/>
    <w:rsid w:val="00181B8A"/>
    <w:rsid w:val="0018286D"/>
    <w:rsid w:val="00182C74"/>
    <w:rsid w:val="001959E9"/>
    <w:rsid w:val="001960F8"/>
    <w:rsid w:val="001A2660"/>
    <w:rsid w:val="001A533A"/>
    <w:rsid w:val="001B2DF7"/>
    <w:rsid w:val="001B55A0"/>
    <w:rsid w:val="001C0BD8"/>
    <w:rsid w:val="001C1F0D"/>
    <w:rsid w:val="001C24A4"/>
    <w:rsid w:val="001C43E5"/>
    <w:rsid w:val="001D0A91"/>
    <w:rsid w:val="001D16C6"/>
    <w:rsid w:val="001D7DE0"/>
    <w:rsid w:val="001E215B"/>
    <w:rsid w:val="001E71C2"/>
    <w:rsid w:val="001F3C31"/>
    <w:rsid w:val="001F4B69"/>
    <w:rsid w:val="001F79F8"/>
    <w:rsid w:val="00205334"/>
    <w:rsid w:val="00206F89"/>
    <w:rsid w:val="00207614"/>
    <w:rsid w:val="002122F8"/>
    <w:rsid w:val="00213D76"/>
    <w:rsid w:val="002150B6"/>
    <w:rsid w:val="00215C51"/>
    <w:rsid w:val="0021634A"/>
    <w:rsid w:val="002163DB"/>
    <w:rsid w:val="002165C5"/>
    <w:rsid w:val="002234E2"/>
    <w:rsid w:val="00227327"/>
    <w:rsid w:val="002353DE"/>
    <w:rsid w:val="00237F0F"/>
    <w:rsid w:val="0024161F"/>
    <w:rsid w:val="002448F5"/>
    <w:rsid w:val="00247859"/>
    <w:rsid w:val="00250578"/>
    <w:rsid w:val="00251717"/>
    <w:rsid w:val="00252ACD"/>
    <w:rsid w:val="0025325C"/>
    <w:rsid w:val="00254455"/>
    <w:rsid w:val="00254542"/>
    <w:rsid w:val="00255F88"/>
    <w:rsid w:val="0025668C"/>
    <w:rsid w:val="00260EFE"/>
    <w:rsid w:val="00262102"/>
    <w:rsid w:val="00263B86"/>
    <w:rsid w:val="00264C80"/>
    <w:rsid w:val="00264DB1"/>
    <w:rsid w:val="0026550C"/>
    <w:rsid w:val="00270833"/>
    <w:rsid w:val="00272E1D"/>
    <w:rsid w:val="00286140"/>
    <w:rsid w:val="002864A3"/>
    <w:rsid w:val="00292143"/>
    <w:rsid w:val="0029301D"/>
    <w:rsid w:val="00295304"/>
    <w:rsid w:val="002A1863"/>
    <w:rsid w:val="002A3B67"/>
    <w:rsid w:val="002A53B2"/>
    <w:rsid w:val="002A64EE"/>
    <w:rsid w:val="002B07E5"/>
    <w:rsid w:val="002B55B8"/>
    <w:rsid w:val="002B5940"/>
    <w:rsid w:val="002B7BAD"/>
    <w:rsid w:val="002C3C32"/>
    <w:rsid w:val="002C3D25"/>
    <w:rsid w:val="002C4BB0"/>
    <w:rsid w:val="002C656F"/>
    <w:rsid w:val="002D5E9C"/>
    <w:rsid w:val="002D616F"/>
    <w:rsid w:val="002D70FB"/>
    <w:rsid w:val="002E76CC"/>
    <w:rsid w:val="002F3D2E"/>
    <w:rsid w:val="002F74C0"/>
    <w:rsid w:val="003021DB"/>
    <w:rsid w:val="003023FC"/>
    <w:rsid w:val="00302863"/>
    <w:rsid w:val="00307102"/>
    <w:rsid w:val="00310201"/>
    <w:rsid w:val="00310CD8"/>
    <w:rsid w:val="00312846"/>
    <w:rsid w:val="003135FD"/>
    <w:rsid w:val="003150FD"/>
    <w:rsid w:val="00316D03"/>
    <w:rsid w:val="003172F7"/>
    <w:rsid w:val="00322A96"/>
    <w:rsid w:val="00325A6B"/>
    <w:rsid w:val="00325F19"/>
    <w:rsid w:val="003312BF"/>
    <w:rsid w:val="0033350C"/>
    <w:rsid w:val="00337B77"/>
    <w:rsid w:val="00340096"/>
    <w:rsid w:val="0034195D"/>
    <w:rsid w:val="00341FC4"/>
    <w:rsid w:val="00343D95"/>
    <w:rsid w:val="00344249"/>
    <w:rsid w:val="00346878"/>
    <w:rsid w:val="00346DF0"/>
    <w:rsid w:val="00347993"/>
    <w:rsid w:val="0035231F"/>
    <w:rsid w:val="00353A64"/>
    <w:rsid w:val="00356955"/>
    <w:rsid w:val="00357529"/>
    <w:rsid w:val="00362242"/>
    <w:rsid w:val="00371B79"/>
    <w:rsid w:val="00372EF5"/>
    <w:rsid w:val="0037589B"/>
    <w:rsid w:val="00376155"/>
    <w:rsid w:val="00376857"/>
    <w:rsid w:val="00384695"/>
    <w:rsid w:val="0038556B"/>
    <w:rsid w:val="00390D2F"/>
    <w:rsid w:val="00391391"/>
    <w:rsid w:val="003920EA"/>
    <w:rsid w:val="003924FC"/>
    <w:rsid w:val="0039367C"/>
    <w:rsid w:val="00395882"/>
    <w:rsid w:val="00396ACC"/>
    <w:rsid w:val="00396B51"/>
    <w:rsid w:val="003A5ADA"/>
    <w:rsid w:val="003B0FCB"/>
    <w:rsid w:val="003B3F6E"/>
    <w:rsid w:val="003C1C8B"/>
    <w:rsid w:val="003C23BC"/>
    <w:rsid w:val="003C588E"/>
    <w:rsid w:val="003D0E4A"/>
    <w:rsid w:val="003D5512"/>
    <w:rsid w:val="003E3B64"/>
    <w:rsid w:val="003E40F5"/>
    <w:rsid w:val="003E66B7"/>
    <w:rsid w:val="003F36DF"/>
    <w:rsid w:val="003F5D92"/>
    <w:rsid w:val="004031BD"/>
    <w:rsid w:val="00406C03"/>
    <w:rsid w:val="00406DF3"/>
    <w:rsid w:val="00410153"/>
    <w:rsid w:val="004149B3"/>
    <w:rsid w:val="00420D2F"/>
    <w:rsid w:val="004219E5"/>
    <w:rsid w:val="00427BE8"/>
    <w:rsid w:val="00430E92"/>
    <w:rsid w:val="00440BF3"/>
    <w:rsid w:val="00440EEA"/>
    <w:rsid w:val="00441135"/>
    <w:rsid w:val="004417E0"/>
    <w:rsid w:val="0044460F"/>
    <w:rsid w:val="00450559"/>
    <w:rsid w:val="00451434"/>
    <w:rsid w:val="00455939"/>
    <w:rsid w:val="00461225"/>
    <w:rsid w:val="00473A3E"/>
    <w:rsid w:val="0047728E"/>
    <w:rsid w:val="00477B13"/>
    <w:rsid w:val="004811A4"/>
    <w:rsid w:val="004822BD"/>
    <w:rsid w:val="004835EE"/>
    <w:rsid w:val="0048520A"/>
    <w:rsid w:val="00491B18"/>
    <w:rsid w:val="00492940"/>
    <w:rsid w:val="00492D71"/>
    <w:rsid w:val="0049350E"/>
    <w:rsid w:val="004A0A76"/>
    <w:rsid w:val="004A3DB0"/>
    <w:rsid w:val="004A4808"/>
    <w:rsid w:val="004A52CD"/>
    <w:rsid w:val="004A6886"/>
    <w:rsid w:val="004B0D90"/>
    <w:rsid w:val="004B3941"/>
    <w:rsid w:val="004B4AEB"/>
    <w:rsid w:val="004B7B8A"/>
    <w:rsid w:val="004C05D2"/>
    <w:rsid w:val="004C0E7F"/>
    <w:rsid w:val="004C355B"/>
    <w:rsid w:val="004C3C7D"/>
    <w:rsid w:val="004C4132"/>
    <w:rsid w:val="004C6F73"/>
    <w:rsid w:val="004C760D"/>
    <w:rsid w:val="004D15E8"/>
    <w:rsid w:val="004D1BE8"/>
    <w:rsid w:val="004D1CB5"/>
    <w:rsid w:val="004D28B1"/>
    <w:rsid w:val="004D5002"/>
    <w:rsid w:val="004D78E4"/>
    <w:rsid w:val="004D7954"/>
    <w:rsid w:val="004E245A"/>
    <w:rsid w:val="004E777F"/>
    <w:rsid w:val="004F2498"/>
    <w:rsid w:val="004F267F"/>
    <w:rsid w:val="004F4E38"/>
    <w:rsid w:val="004F522E"/>
    <w:rsid w:val="004F77A8"/>
    <w:rsid w:val="00501824"/>
    <w:rsid w:val="00505E1D"/>
    <w:rsid w:val="00506314"/>
    <w:rsid w:val="00513678"/>
    <w:rsid w:val="00514FBF"/>
    <w:rsid w:val="00520708"/>
    <w:rsid w:val="00523AE0"/>
    <w:rsid w:val="0052482D"/>
    <w:rsid w:val="005304B0"/>
    <w:rsid w:val="0053496C"/>
    <w:rsid w:val="00535DBC"/>
    <w:rsid w:val="00536C15"/>
    <w:rsid w:val="005374B7"/>
    <w:rsid w:val="0053756E"/>
    <w:rsid w:val="00540B9F"/>
    <w:rsid w:val="00541672"/>
    <w:rsid w:val="0054346A"/>
    <w:rsid w:val="00544C49"/>
    <w:rsid w:val="0054600A"/>
    <w:rsid w:val="0055020A"/>
    <w:rsid w:val="00554135"/>
    <w:rsid w:val="00556657"/>
    <w:rsid w:val="00561E3D"/>
    <w:rsid w:val="00564ED4"/>
    <w:rsid w:val="005712B1"/>
    <w:rsid w:val="0057782A"/>
    <w:rsid w:val="00581954"/>
    <w:rsid w:val="00581DA4"/>
    <w:rsid w:val="005824A2"/>
    <w:rsid w:val="00591DD7"/>
    <w:rsid w:val="00593CB2"/>
    <w:rsid w:val="005940DA"/>
    <w:rsid w:val="00595395"/>
    <w:rsid w:val="00596B72"/>
    <w:rsid w:val="005A1A55"/>
    <w:rsid w:val="005A2D15"/>
    <w:rsid w:val="005A437E"/>
    <w:rsid w:val="005A497E"/>
    <w:rsid w:val="005B7936"/>
    <w:rsid w:val="005C3F7D"/>
    <w:rsid w:val="005C58DD"/>
    <w:rsid w:val="005D387D"/>
    <w:rsid w:val="005D4D86"/>
    <w:rsid w:val="005E6D3E"/>
    <w:rsid w:val="005F0B76"/>
    <w:rsid w:val="005F2FAD"/>
    <w:rsid w:val="006025EF"/>
    <w:rsid w:val="00603F9A"/>
    <w:rsid w:val="00617142"/>
    <w:rsid w:val="006270E0"/>
    <w:rsid w:val="006300FD"/>
    <w:rsid w:val="006302D2"/>
    <w:rsid w:val="00630948"/>
    <w:rsid w:val="00631949"/>
    <w:rsid w:val="006325AC"/>
    <w:rsid w:val="006332C0"/>
    <w:rsid w:val="00635D15"/>
    <w:rsid w:val="00640AB3"/>
    <w:rsid w:val="00643429"/>
    <w:rsid w:val="006474FF"/>
    <w:rsid w:val="00657DAC"/>
    <w:rsid w:val="0066092B"/>
    <w:rsid w:val="00660F89"/>
    <w:rsid w:val="00664697"/>
    <w:rsid w:val="00666B6A"/>
    <w:rsid w:val="006673DA"/>
    <w:rsid w:val="0067342A"/>
    <w:rsid w:val="00674F3E"/>
    <w:rsid w:val="006826B6"/>
    <w:rsid w:val="00685E2F"/>
    <w:rsid w:val="00690433"/>
    <w:rsid w:val="0069288B"/>
    <w:rsid w:val="006A483B"/>
    <w:rsid w:val="006A56CE"/>
    <w:rsid w:val="006B2503"/>
    <w:rsid w:val="006B6B54"/>
    <w:rsid w:val="006C119D"/>
    <w:rsid w:val="006C510D"/>
    <w:rsid w:val="006D12FA"/>
    <w:rsid w:val="006D3E56"/>
    <w:rsid w:val="006D4B59"/>
    <w:rsid w:val="006D553B"/>
    <w:rsid w:val="006D79F6"/>
    <w:rsid w:val="006F09DA"/>
    <w:rsid w:val="006F151D"/>
    <w:rsid w:val="007013BE"/>
    <w:rsid w:val="00705C57"/>
    <w:rsid w:val="00711252"/>
    <w:rsid w:val="007124BC"/>
    <w:rsid w:val="00724202"/>
    <w:rsid w:val="00731C9D"/>
    <w:rsid w:val="00740663"/>
    <w:rsid w:val="007408C6"/>
    <w:rsid w:val="00741B12"/>
    <w:rsid w:val="00743649"/>
    <w:rsid w:val="00743B67"/>
    <w:rsid w:val="007452D3"/>
    <w:rsid w:val="00750E75"/>
    <w:rsid w:val="007536A1"/>
    <w:rsid w:val="00753997"/>
    <w:rsid w:val="007577DE"/>
    <w:rsid w:val="00761980"/>
    <w:rsid w:val="0076412D"/>
    <w:rsid w:val="00766C09"/>
    <w:rsid w:val="007675DA"/>
    <w:rsid w:val="007709A9"/>
    <w:rsid w:val="00780978"/>
    <w:rsid w:val="007829F4"/>
    <w:rsid w:val="00790A53"/>
    <w:rsid w:val="00790FB4"/>
    <w:rsid w:val="00791216"/>
    <w:rsid w:val="0079399E"/>
    <w:rsid w:val="00793B62"/>
    <w:rsid w:val="007A1B81"/>
    <w:rsid w:val="007A5916"/>
    <w:rsid w:val="007B04E2"/>
    <w:rsid w:val="007B16E7"/>
    <w:rsid w:val="007B28A3"/>
    <w:rsid w:val="007B7820"/>
    <w:rsid w:val="007C1532"/>
    <w:rsid w:val="007C66B8"/>
    <w:rsid w:val="007D6033"/>
    <w:rsid w:val="007D6704"/>
    <w:rsid w:val="007E030B"/>
    <w:rsid w:val="007E1D5C"/>
    <w:rsid w:val="007E36AE"/>
    <w:rsid w:val="007F330F"/>
    <w:rsid w:val="007F4592"/>
    <w:rsid w:val="007F558E"/>
    <w:rsid w:val="00800C0D"/>
    <w:rsid w:val="00815BE4"/>
    <w:rsid w:val="00816E45"/>
    <w:rsid w:val="00820046"/>
    <w:rsid w:val="00821639"/>
    <w:rsid w:val="008303B8"/>
    <w:rsid w:val="00832CC0"/>
    <w:rsid w:val="00833DDB"/>
    <w:rsid w:val="00834D43"/>
    <w:rsid w:val="008403FB"/>
    <w:rsid w:val="00840ED4"/>
    <w:rsid w:val="00841461"/>
    <w:rsid w:val="00844089"/>
    <w:rsid w:val="008449C5"/>
    <w:rsid w:val="00845BB0"/>
    <w:rsid w:val="0085133D"/>
    <w:rsid w:val="00852141"/>
    <w:rsid w:val="0085406A"/>
    <w:rsid w:val="00854EF7"/>
    <w:rsid w:val="008612E4"/>
    <w:rsid w:val="00861634"/>
    <w:rsid w:val="00863E6B"/>
    <w:rsid w:val="00877FC3"/>
    <w:rsid w:val="00882658"/>
    <w:rsid w:val="0088304B"/>
    <w:rsid w:val="00883DA1"/>
    <w:rsid w:val="00893771"/>
    <w:rsid w:val="00895CE3"/>
    <w:rsid w:val="00895D42"/>
    <w:rsid w:val="008A14D4"/>
    <w:rsid w:val="008A63C6"/>
    <w:rsid w:val="008C0BAB"/>
    <w:rsid w:val="008C14AE"/>
    <w:rsid w:val="008C22D5"/>
    <w:rsid w:val="008C4E57"/>
    <w:rsid w:val="008C5269"/>
    <w:rsid w:val="008D303C"/>
    <w:rsid w:val="008D4C52"/>
    <w:rsid w:val="008D6CD6"/>
    <w:rsid w:val="008E1AA9"/>
    <w:rsid w:val="008E3A8F"/>
    <w:rsid w:val="008E72FA"/>
    <w:rsid w:val="008E7F3F"/>
    <w:rsid w:val="008F230E"/>
    <w:rsid w:val="008F549F"/>
    <w:rsid w:val="0090624E"/>
    <w:rsid w:val="00912954"/>
    <w:rsid w:val="00917052"/>
    <w:rsid w:val="009205AC"/>
    <w:rsid w:val="0092359B"/>
    <w:rsid w:val="009248A3"/>
    <w:rsid w:val="009264C7"/>
    <w:rsid w:val="0092669D"/>
    <w:rsid w:val="00927F24"/>
    <w:rsid w:val="00930CFF"/>
    <w:rsid w:val="0093140B"/>
    <w:rsid w:val="0093343E"/>
    <w:rsid w:val="00946A9E"/>
    <w:rsid w:val="00950B7E"/>
    <w:rsid w:val="00951901"/>
    <w:rsid w:val="00954D00"/>
    <w:rsid w:val="009557C2"/>
    <w:rsid w:val="009557FE"/>
    <w:rsid w:val="00956502"/>
    <w:rsid w:val="0096044C"/>
    <w:rsid w:val="009615A4"/>
    <w:rsid w:val="0096271A"/>
    <w:rsid w:val="0096329A"/>
    <w:rsid w:val="00964EE5"/>
    <w:rsid w:val="00965AF2"/>
    <w:rsid w:val="00967520"/>
    <w:rsid w:val="009713A9"/>
    <w:rsid w:val="009722A2"/>
    <w:rsid w:val="0097411F"/>
    <w:rsid w:val="00974FA5"/>
    <w:rsid w:val="00975541"/>
    <w:rsid w:val="00977576"/>
    <w:rsid w:val="0098416F"/>
    <w:rsid w:val="009851C9"/>
    <w:rsid w:val="00986BBA"/>
    <w:rsid w:val="00991A38"/>
    <w:rsid w:val="00991D0D"/>
    <w:rsid w:val="009947DF"/>
    <w:rsid w:val="00997DF2"/>
    <w:rsid w:val="009A007A"/>
    <w:rsid w:val="009A00BB"/>
    <w:rsid w:val="009A01EE"/>
    <w:rsid w:val="009A110C"/>
    <w:rsid w:val="009A2739"/>
    <w:rsid w:val="009A5DEE"/>
    <w:rsid w:val="009A6E38"/>
    <w:rsid w:val="009A762D"/>
    <w:rsid w:val="009B1421"/>
    <w:rsid w:val="009B1680"/>
    <w:rsid w:val="009B2FFF"/>
    <w:rsid w:val="009B63DC"/>
    <w:rsid w:val="009C10CC"/>
    <w:rsid w:val="009C1E8D"/>
    <w:rsid w:val="009C256A"/>
    <w:rsid w:val="009C5875"/>
    <w:rsid w:val="009D4581"/>
    <w:rsid w:val="009D4D91"/>
    <w:rsid w:val="009D7190"/>
    <w:rsid w:val="009E1CB6"/>
    <w:rsid w:val="009E688D"/>
    <w:rsid w:val="009E78A5"/>
    <w:rsid w:val="009F06F3"/>
    <w:rsid w:val="009F24EB"/>
    <w:rsid w:val="009F79A3"/>
    <w:rsid w:val="009F7A96"/>
    <w:rsid w:val="00A020C4"/>
    <w:rsid w:val="00A07404"/>
    <w:rsid w:val="00A079B1"/>
    <w:rsid w:val="00A12484"/>
    <w:rsid w:val="00A172FD"/>
    <w:rsid w:val="00A21C01"/>
    <w:rsid w:val="00A21FA3"/>
    <w:rsid w:val="00A223A8"/>
    <w:rsid w:val="00A22E41"/>
    <w:rsid w:val="00A23045"/>
    <w:rsid w:val="00A23B41"/>
    <w:rsid w:val="00A23EEE"/>
    <w:rsid w:val="00A24F40"/>
    <w:rsid w:val="00A25AEA"/>
    <w:rsid w:val="00A26D20"/>
    <w:rsid w:val="00A32AF4"/>
    <w:rsid w:val="00A33B24"/>
    <w:rsid w:val="00A346C1"/>
    <w:rsid w:val="00A362C5"/>
    <w:rsid w:val="00A427D2"/>
    <w:rsid w:val="00A44359"/>
    <w:rsid w:val="00A444F3"/>
    <w:rsid w:val="00A511BD"/>
    <w:rsid w:val="00A546F7"/>
    <w:rsid w:val="00A54D57"/>
    <w:rsid w:val="00A558B0"/>
    <w:rsid w:val="00A57C68"/>
    <w:rsid w:val="00A61DE7"/>
    <w:rsid w:val="00A63B6F"/>
    <w:rsid w:val="00A67E8C"/>
    <w:rsid w:val="00A72988"/>
    <w:rsid w:val="00A736BA"/>
    <w:rsid w:val="00A75CAF"/>
    <w:rsid w:val="00A804D5"/>
    <w:rsid w:val="00A81BF7"/>
    <w:rsid w:val="00A84B9C"/>
    <w:rsid w:val="00A87544"/>
    <w:rsid w:val="00A8770C"/>
    <w:rsid w:val="00A9698A"/>
    <w:rsid w:val="00AA1556"/>
    <w:rsid w:val="00AA48BC"/>
    <w:rsid w:val="00AB29E3"/>
    <w:rsid w:val="00AB5078"/>
    <w:rsid w:val="00AB67AE"/>
    <w:rsid w:val="00AC07AE"/>
    <w:rsid w:val="00AC391D"/>
    <w:rsid w:val="00AC3E9D"/>
    <w:rsid w:val="00AC7100"/>
    <w:rsid w:val="00AC79BE"/>
    <w:rsid w:val="00AD0C20"/>
    <w:rsid w:val="00AD3878"/>
    <w:rsid w:val="00AD3F1F"/>
    <w:rsid w:val="00AD4855"/>
    <w:rsid w:val="00AD4F00"/>
    <w:rsid w:val="00AD5FEB"/>
    <w:rsid w:val="00AE29B6"/>
    <w:rsid w:val="00AF05D4"/>
    <w:rsid w:val="00AF74FF"/>
    <w:rsid w:val="00B0053C"/>
    <w:rsid w:val="00B0222F"/>
    <w:rsid w:val="00B03F6B"/>
    <w:rsid w:val="00B064FB"/>
    <w:rsid w:val="00B11203"/>
    <w:rsid w:val="00B11A84"/>
    <w:rsid w:val="00B12688"/>
    <w:rsid w:val="00B13B2B"/>
    <w:rsid w:val="00B13E4C"/>
    <w:rsid w:val="00B16E1E"/>
    <w:rsid w:val="00B21468"/>
    <w:rsid w:val="00B2196B"/>
    <w:rsid w:val="00B311B6"/>
    <w:rsid w:val="00B36776"/>
    <w:rsid w:val="00B377A8"/>
    <w:rsid w:val="00B424E1"/>
    <w:rsid w:val="00B43F0C"/>
    <w:rsid w:val="00B473D6"/>
    <w:rsid w:val="00B47B99"/>
    <w:rsid w:val="00B519B1"/>
    <w:rsid w:val="00B54E30"/>
    <w:rsid w:val="00B60961"/>
    <w:rsid w:val="00B65BB4"/>
    <w:rsid w:val="00B7218E"/>
    <w:rsid w:val="00B72D85"/>
    <w:rsid w:val="00B76FC8"/>
    <w:rsid w:val="00B779D4"/>
    <w:rsid w:val="00B8119B"/>
    <w:rsid w:val="00B8158D"/>
    <w:rsid w:val="00B82236"/>
    <w:rsid w:val="00B82C01"/>
    <w:rsid w:val="00B93F44"/>
    <w:rsid w:val="00B950F0"/>
    <w:rsid w:val="00BA0BB9"/>
    <w:rsid w:val="00BA0D5A"/>
    <w:rsid w:val="00BA286C"/>
    <w:rsid w:val="00BA2B28"/>
    <w:rsid w:val="00BA4AA1"/>
    <w:rsid w:val="00BA7A52"/>
    <w:rsid w:val="00BA7E52"/>
    <w:rsid w:val="00BB3D1E"/>
    <w:rsid w:val="00BB7C99"/>
    <w:rsid w:val="00BC46DB"/>
    <w:rsid w:val="00BC4F98"/>
    <w:rsid w:val="00BC5482"/>
    <w:rsid w:val="00BD35F8"/>
    <w:rsid w:val="00BE1572"/>
    <w:rsid w:val="00BE2444"/>
    <w:rsid w:val="00BE3377"/>
    <w:rsid w:val="00BF1B66"/>
    <w:rsid w:val="00BF7A63"/>
    <w:rsid w:val="00BF7CE5"/>
    <w:rsid w:val="00C00181"/>
    <w:rsid w:val="00C04CCC"/>
    <w:rsid w:val="00C15ED9"/>
    <w:rsid w:val="00C16C3A"/>
    <w:rsid w:val="00C25266"/>
    <w:rsid w:val="00C30031"/>
    <w:rsid w:val="00C344FA"/>
    <w:rsid w:val="00C34F8A"/>
    <w:rsid w:val="00C42E78"/>
    <w:rsid w:val="00C43B7D"/>
    <w:rsid w:val="00C44DED"/>
    <w:rsid w:val="00C4652A"/>
    <w:rsid w:val="00C50B67"/>
    <w:rsid w:val="00C5481E"/>
    <w:rsid w:val="00C551CC"/>
    <w:rsid w:val="00C658D1"/>
    <w:rsid w:val="00C658E3"/>
    <w:rsid w:val="00C677A9"/>
    <w:rsid w:val="00C70812"/>
    <w:rsid w:val="00C726CD"/>
    <w:rsid w:val="00C73F93"/>
    <w:rsid w:val="00C74471"/>
    <w:rsid w:val="00C809A9"/>
    <w:rsid w:val="00C9373E"/>
    <w:rsid w:val="00CA2692"/>
    <w:rsid w:val="00CA39CC"/>
    <w:rsid w:val="00CA735B"/>
    <w:rsid w:val="00CB15CD"/>
    <w:rsid w:val="00CB21B8"/>
    <w:rsid w:val="00CB2593"/>
    <w:rsid w:val="00CB582A"/>
    <w:rsid w:val="00CB667A"/>
    <w:rsid w:val="00CB7498"/>
    <w:rsid w:val="00CC7FD5"/>
    <w:rsid w:val="00CD45BB"/>
    <w:rsid w:val="00CD5DF6"/>
    <w:rsid w:val="00CE1E81"/>
    <w:rsid w:val="00CF0BAA"/>
    <w:rsid w:val="00CF3B6C"/>
    <w:rsid w:val="00CF68BB"/>
    <w:rsid w:val="00CF6F29"/>
    <w:rsid w:val="00D06F32"/>
    <w:rsid w:val="00D07B45"/>
    <w:rsid w:val="00D10D91"/>
    <w:rsid w:val="00D162BB"/>
    <w:rsid w:val="00D17BDA"/>
    <w:rsid w:val="00D217EA"/>
    <w:rsid w:val="00D21903"/>
    <w:rsid w:val="00D2197A"/>
    <w:rsid w:val="00D2508B"/>
    <w:rsid w:val="00D37444"/>
    <w:rsid w:val="00D37596"/>
    <w:rsid w:val="00D42C1D"/>
    <w:rsid w:val="00D43F90"/>
    <w:rsid w:val="00D4558C"/>
    <w:rsid w:val="00D45641"/>
    <w:rsid w:val="00D46900"/>
    <w:rsid w:val="00D47CC6"/>
    <w:rsid w:val="00D51C71"/>
    <w:rsid w:val="00D52216"/>
    <w:rsid w:val="00D525CB"/>
    <w:rsid w:val="00D530BB"/>
    <w:rsid w:val="00D605C4"/>
    <w:rsid w:val="00D60B62"/>
    <w:rsid w:val="00D67EBD"/>
    <w:rsid w:val="00D72733"/>
    <w:rsid w:val="00D7379A"/>
    <w:rsid w:val="00D769C5"/>
    <w:rsid w:val="00D80B9C"/>
    <w:rsid w:val="00D8663D"/>
    <w:rsid w:val="00D9274B"/>
    <w:rsid w:val="00D968B8"/>
    <w:rsid w:val="00DA09F0"/>
    <w:rsid w:val="00DA174A"/>
    <w:rsid w:val="00DA39C5"/>
    <w:rsid w:val="00DA3F94"/>
    <w:rsid w:val="00DA62DD"/>
    <w:rsid w:val="00DA7874"/>
    <w:rsid w:val="00DB1282"/>
    <w:rsid w:val="00DB3199"/>
    <w:rsid w:val="00DB4DFB"/>
    <w:rsid w:val="00DB61DF"/>
    <w:rsid w:val="00DC0E70"/>
    <w:rsid w:val="00DC3620"/>
    <w:rsid w:val="00DC3F2D"/>
    <w:rsid w:val="00DC5601"/>
    <w:rsid w:val="00DC6F59"/>
    <w:rsid w:val="00DC720D"/>
    <w:rsid w:val="00DD1DDF"/>
    <w:rsid w:val="00DD400B"/>
    <w:rsid w:val="00DD7E3F"/>
    <w:rsid w:val="00DE661C"/>
    <w:rsid w:val="00DE6661"/>
    <w:rsid w:val="00DE6E9B"/>
    <w:rsid w:val="00DE7CEE"/>
    <w:rsid w:val="00DF04DC"/>
    <w:rsid w:val="00E04A53"/>
    <w:rsid w:val="00E1015A"/>
    <w:rsid w:val="00E12ED1"/>
    <w:rsid w:val="00E167BC"/>
    <w:rsid w:val="00E17ADD"/>
    <w:rsid w:val="00E2037A"/>
    <w:rsid w:val="00E20679"/>
    <w:rsid w:val="00E21C40"/>
    <w:rsid w:val="00E2292D"/>
    <w:rsid w:val="00E2581E"/>
    <w:rsid w:val="00E265D5"/>
    <w:rsid w:val="00E26838"/>
    <w:rsid w:val="00E27010"/>
    <w:rsid w:val="00E3172D"/>
    <w:rsid w:val="00E321CE"/>
    <w:rsid w:val="00E370E6"/>
    <w:rsid w:val="00E371AA"/>
    <w:rsid w:val="00E41DDE"/>
    <w:rsid w:val="00E46BB1"/>
    <w:rsid w:val="00E53AD8"/>
    <w:rsid w:val="00E57C09"/>
    <w:rsid w:val="00E64127"/>
    <w:rsid w:val="00E70BE5"/>
    <w:rsid w:val="00E819DC"/>
    <w:rsid w:val="00E8386C"/>
    <w:rsid w:val="00E87306"/>
    <w:rsid w:val="00E901FF"/>
    <w:rsid w:val="00E9685F"/>
    <w:rsid w:val="00E9719F"/>
    <w:rsid w:val="00E97507"/>
    <w:rsid w:val="00EA3313"/>
    <w:rsid w:val="00EA337B"/>
    <w:rsid w:val="00EA3575"/>
    <w:rsid w:val="00EB0594"/>
    <w:rsid w:val="00EB2547"/>
    <w:rsid w:val="00EB348F"/>
    <w:rsid w:val="00EB3D5C"/>
    <w:rsid w:val="00EB674B"/>
    <w:rsid w:val="00EB6D6E"/>
    <w:rsid w:val="00EC195B"/>
    <w:rsid w:val="00EC54C1"/>
    <w:rsid w:val="00EC5A34"/>
    <w:rsid w:val="00ED13FB"/>
    <w:rsid w:val="00ED1E61"/>
    <w:rsid w:val="00ED47C2"/>
    <w:rsid w:val="00EE0D4A"/>
    <w:rsid w:val="00EE1743"/>
    <w:rsid w:val="00EE299B"/>
    <w:rsid w:val="00EE371B"/>
    <w:rsid w:val="00EE3807"/>
    <w:rsid w:val="00EE3BC5"/>
    <w:rsid w:val="00EE4A7C"/>
    <w:rsid w:val="00EF1F92"/>
    <w:rsid w:val="00EF69BA"/>
    <w:rsid w:val="00F01C07"/>
    <w:rsid w:val="00F01F7C"/>
    <w:rsid w:val="00F05123"/>
    <w:rsid w:val="00F160AB"/>
    <w:rsid w:val="00F16615"/>
    <w:rsid w:val="00F17D22"/>
    <w:rsid w:val="00F17EC1"/>
    <w:rsid w:val="00F20409"/>
    <w:rsid w:val="00F24F8D"/>
    <w:rsid w:val="00F25380"/>
    <w:rsid w:val="00F36772"/>
    <w:rsid w:val="00F37D79"/>
    <w:rsid w:val="00F5164B"/>
    <w:rsid w:val="00F52AD3"/>
    <w:rsid w:val="00F54913"/>
    <w:rsid w:val="00F57014"/>
    <w:rsid w:val="00F5717E"/>
    <w:rsid w:val="00F61098"/>
    <w:rsid w:val="00F63875"/>
    <w:rsid w:val="00F655CC"/>
    <w:rsid w:val="00F6737B"/>
    <w:rsid w:val="00F67B54"/>
    <w:rsid w:val="00F72D2C"/>
    <w:rsid w:val="00F859E8"/>
    <w:rsid w:val="00F95DB5"/>
    <w:rsid w:val="00F96A02"/>
    <w:rsid w:val="00FA172E"/>
    <w:rsid w:val="00FA2281"/>
    <w:rsid w:val="00FA64F6"/>
    <w:rsid w:val="00FA7B21"/>
    <w:rsid w:val="00FC1FB9"/>
    <w:rsid w:val="00FC47B6"/>
    <w:rsid w:val="00FD451E"/>
    <w:rsid w:val="00FD51E6"/>
    <w:rsid w:val="00FE0DFB"/>
    <w:rsid w:val="00FE4350"/>
    <w:rsid w:val="00FE46B5"/>
    <w:rsid w:val="00FE48DF"/>
    <w:rsid w:val="00FF2A17"/>
    <w:rsid w:val="00FF4FE1"/>
    <w:rsid w:val="00FF6733"/>
    <w:rsid w:val="00FF7C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38933B"/>
  <w15:chartTrackingRefBased/>
  <w15:docId w15:val="{C808393E-E3C0-45BF-821A-52A0B9DCB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5133D"/>
    <w:pPr>
      <w:keepNext/>
      <w:keepLines/>
      <w:spacing w:before="240" w:after="0"/>
      <w:outlineLvl w:val="0"/>
    </w:pPr>
    <w:rPr>
      <w:rFonts w:asciiTheme="majorHAnsi" w:eastAsiaTheme="majorEastAsia" w:hAnsiTheme="majorHAnsi" w:cstheme="majorBidi"/>
      <w:color w:val="A44E00" w:themeColor="accent1" w:themeShade="BF"/>
      <w:sz w:val="32"/>
      <w:szCs w:val="32"/>
    </w:rPr>
  </w:style>
  <w:style w:type="paragraph" w:styleId="Heading2">
    <w:name w:val="heading 2"/>
    <w:basedOn w:val="Normal"/>
    <w:next w:val="Normal"/>
    <w:link w:val="Heading2Char"/>
    <w:uiPriority w:val="9"/>
    <w:unhideWhenUsed/>
    <w:qFormat/>
    <w:rsid w:val="0085133D"/>
    <w:pPr>
      <w:keepNext/>
      <w:keepLines/>
      <w:spacing w:before="40" w:after="0"/>
      <w:outlineLvl w:val="1"/>
    </w:pPr>
    <w:rPr>
      <w:rFonts w:asciiTheme="majorHAnsi" w:eastAsiaTheme="majorEastAsia" w:hAnsiTheme="majorHAnsi" w:cstheme="majorBidi"/>
      <w:color w:val="A44E00" w:themeColor="accent1" w:themeShade="BF"/>
      <w:sz w:val="26"/>
      <w:szCs w:val="26"/>
    </w:rPr>
  </w:style>
  <w:style w:type="paragraph" w:styleId="Heading3">
    <w:name w:val="heading 3"/>
    <w:basedOn w:val="Normal"/>
    <w:next w:val="Normal"/>
    <w:link w:val="Heading3Char"/>
    <w:uiPriority w:val="9"/>
    <w:unhideWhenUsed/>
    <w:qFormat/>
    <w:rsid w:val="003E66B7"/>
    <w:pPr>
      <w:keepNext/>
      <w:keepLines/>
      <w:spacing w:before="40" w:after="0"/>
      <w:outlineLvl w:val="2"/>
    </w:pPr>
    <w:rPr>
      <w:rFonts w:asciiTheme="majorHAnsi" w:eastAsiaTheme="majorEastAsia" w:hAnsiTheme="majorHAnsi" w:cstheme="majorBidi"/>
      <w:color w:val="6D330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85133D"/>
    <w:pPr>
      <w:spacing w:after="0" w:line="240" w:lineRule="auto"/>
    </w:pPr>
    <w:rPr>
      <w:rFonts w:eastAsiaTheme="minorEastAsia"/>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85133D"/>
    <w:rPr>
      <w:rFonts w:asciiTheme="majorHAnsi" w:eastAsiaTheme="majorEastAsia" w:hAnsiTheme="majorHAnsi" w:cstheme="majorBidi"/>
      <w:color w:val="A44E00" w:themeColor="accent1" w:themeShade="BF"/>
      <w:sz w:val="32"/>
      <w:szCs w:val="32"/>
    </w:rPr>
  </w:style>
  <w:style w:type="character" w:customStyle="1" w:styleId="Heading2Char">
    <w:name w:val="Heading 2 Char"/>
    <w:basedOn w:val="DefaultParagraphFont"/>
    <w:link w:val="Heading2"/>
    <w:uiPriority w:val="9"/>
    <w:rsid w:val="0085133D"/>
    <w:rPr>
      <w:rFonts w:asciiTheme="majorHAnsi" w:eastAsiaTheme="majorEastAsia" w:hAnsiTheme="majorHAnsi" w:cstheme="majorBidi"/>
      <w:color w:val="A44E00" w:themeColor="accent1" w:themeShade="BF"/>
      <w:sz w:val="26"/>
      <w:szCs w:val="26"/>
    </w:rPr>
  </w:style>
  <w:style w:type="paragraph" w:styleId="TOCHeading">
    <w:name w:val="TOC Heading"/>
    <w:basedOn w:val="Heading1"/>
    <w:next w:val="Normal"/>
    <w:uiPriority w:val="39"/>
    <w:unhideWhenUsed/>
    <w:qFormat/>
    <w:rsid w:val="00D530BB"/>
    <w:pPr>
      <w:outlineLvl w:val="9"/>
    </w:pPr>
  </w:style>
  <w:style w:type="paragraph" w:styleId="TOC1">
    <w:name w:val="toc 1"/>
    <w:basedOn w:val="Normal"/>
    <w:next w:val="Normal"/>
    <w:autoRedefine/>
    <w:uiPriority w:val="39"/>
    <w:unhideWhenUsed/>
    <w:rsid w:val="00F72D2C"/>
    <w:pPr>
      <w:tabs>
        <w:tab w:val="right" w:pos="9350"/>
      </w:tabs>
      <w:spacing w:after="100"/>
    </w:pPr>
    <w:rPr>
      <w:b/>
      <w:bCs/>
      <w:noProof/>
    </w:rPr>
  </w:style>
  <w:style w:type="paragraph" w:styleId="TOC2">
    <w:name w:val="toc 2"/>
    <w:basedOn w:val="Normal"/>
    <w:next w:val="Normal"/>
    <w:autoRedefine/>
    <w:uiPriority w:val="39"/>
    <w:unhideWhenUsed/>
    <w:rsid w:val="00D530BB"/>
    <w:pPr>
      <w:spacing w:after="100"/>
      <w:ind w:left="220"/>
    </w:pPr>
  </w:style>
  <w:style w:type="character" w:styleId="Hyperlink">
    <w:name w:val="Hyperlink"/>
    <w:basedOn w:val="DefaultParagraphFont"/>
    <w:uiPriority w:val="99"/>
    <w:unhideWhenUsed/>
    <w:rsid w:val="00D530BB"/>
    <w:rPr>
      <w:color w:val="0000FF" w:themeColor="hyperlink"/>
      <w:u w:val="single"/>
    </w:rPr>
  </w:style>
  <w:style w:type="paragraph" w:styleId="Header">
    <w:name w:val="header"/>
    <w:basedOn w:val="Normal"/>
    <w:link w:val="HeaderChar"/>
    <w:uiPriority w:val="99"/>
    <w:unhideWhenUsed/>
    <w:rsid w:val="00D530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0BB"/>
  </w:style>
  <w:style w:type="paragraph" w:styleId="Footer">
    <w:name w:val="footer"/>
    <w:basedOn w:val="Normal"/>
    <w:link w:val="FooterChar"/>
    <w:uiPriority w:val="99"/>
    <w:unhideWhenUsed/>
    <w:rsid w:val="00D530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0BB"/>
  </w:style>
  <w:style w:type="character" w:customStyle="1" w:styleId="UnresolvedMention1">
    <w:name w:val="Unresolved Mention1"/>
    <w:basedOn w:val="DefaultParagraphFont"/>
    <w:uiPriority w:val="99"/>
    <w:semiHidden/>
    <w:unhideWhenUsed/>
    <w:rsid w:val="006B6B54"/>
    <w:rPr>
      <w:color w:val="605E5C"/>
      <w:shd w:val="clear" w:color="auto" w:fill="E1DFDD"/>
    </w:rPr>
  </w:style>
  <w:style w:type="character" w:styleId="FollowedHyperlink">
    <w:name w:val="FollowedHyperlink"/>
    <w:basedOn w:val="DefaultParagraphFont"/>
    <w:uiPriority w:val="99"/>
    <w:semiHidden/>
    <w:unhideWhenUsed/>
    <w:rsid w:val="001467C3"/>
    <w:rPr>
      <w:color w:val="0000FF" w:themeColor="followedHyperlink"/>
      <w:u w:val="single"/>
    </w:rPr>
  </w:style>
  <w:style w:type="paragraph" w:styleId="ListParagraph">
    <w:name w:val="List Paragraph"/>
    <w:basedOn w:val="Normal"/>
    <w:uiPriority w:val="34"/>
    <w:qFormat/>
    <w:rsid w:val="000546A1"/>
    <w:pPr>
      <w:ind w:left="720"/>
      <w:contextualSpacing/>
    </w:pPr>
  </w:style>
  <w:style w:type="character" w:styleId="Strong">
    <w:name w:val="Strong"/>
    <w:basedOn w:val="DefaultParagraphFont"/>
    <w:uiPriority w:val="22"/>
    <w:qFormat/>
    <w:rsid w:val="00974FA5"/>
    <w:rPr>
      <w:b/>
      <w:bCs/>
    </w:rPr>
  </w:style>
  <w:style w:type="paragraph" w:styleId="BalloonText">
    <w:name w:val="Balloon Text"/>
    <w:basedOn w:val="Normal"/>
    <w:link w:val="BalloonTextChar"/>
    <w:uiPriority w:val="99"/>
    <w:semiHidden/>
    <w:unhideWhenUsed/>
    <w:rsid w:val="00833D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3DDB"/>
    <w:rPr>
      <w:rFonts w:ascii="Segoe UI" w:hAnsi="Segoe UI" w:cs="Segoe UI"/>
      <w:sz w:val="18"/>
      <w:szCs w:val="18"/>
    </w:rPr>
  </w:style>
  <w:style w:type="character" w:customStyle="1" w:styleId="Heading3Char">
    <w:name w:val="Heading 3 Char"/>
    <w:basedOn w:val="DefaultParagraphFont"/>
    <w:link w:val="Heading3"/>
    <w:uiPriority w:val="9"/>
    <w:rsid w:val="003E66B7"/>
    <w:rPr>
      <w:rFonts w:asciiTheme="majorHAnsi" w:eastAsiaTheme="majorEastAsia" w:hAnsiTheme="majorHAnsi" w:cstheme="majorBidi"/>
      <w:color w:val="6D3300" w:themeColor="accent1" w:themeShade="7F"/>
      <w:sz w:val="24"/>
      <w:szCs w:val="24"/>
    </w:rPr>
  </w:style>
  <w:style w:type="paragraph" w:styleId="Bibliography">
    <w:name w:val="Bibliography"/>
    <w:basedOn w:val="Normal"/>
    <w:next w:val="Normal"/>
    <w:uiPriority w:val="37"/>
    <w:unhideWhenUsed/>
    <w:rsid w:val="00263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94859">
      <w:bodyDiv w:val="1"/>
      <w:marLeft w:val="0"/>
      <w:marRight w:val="0"/>
      <w:marTop w:val="0"/>
      <w:marBottom w:val="0"/>
      <w:divBdr>
        <w:top w:val="none" w:sz="0" w:space="0" w:color="auto"/>
        <w:left w:val="none" w:sz="0" w:space="0" w:color="auto"/>
        <w:bottom w:val="none" w:sz="0" w:space="0" w:color="auto"/>
        <w:right w:val="none" w:sz="0" w:space="0" w:color="auto"/>
      </w:divBdr>
    </w:div>
    <w:div w:id="63378953">
      <w:bodyDiv w:val="1"/>
      <w:marLeft w:val="0"/>
      <w:marRight w:val="0"/>
      <w:marTop w:val="0"/>
      <w:marBottom w:val="0"/>
      <w:divBdr>
        <w:top w:val="none" w:sz="0" w:space="0" w:color="auto"/>
        <w:left w:val="none" w:sz="0" w:space="0" w:color="auto"/>
        <w:bottom w:val="none" w:sz="0" w:space="0" w:color="auto"/>
        <w:right w:val="none" w:sz="0" w:space="0" w:color="auto"/>
      </w:divBdr>
    </w:div>
    <w:div w:id="69231786">
      <w:bodyDiv w:val="1"/>
      <w:marLeft w:val="0"/>
      <w:marRight w:val="0"/>
      <w:marTop w:val="0"/>
      <w:marBottom w:val="0"/>
      <w:divBdr>
        <w:top w:val="none" w:sz="0" w:space="0" w:color="auto"/>
        <w:left w:val="none" w:sz="0" w:space="0" w:color="auto"/>
        <w:bottom w:val="none" w:sz="0" w:space="0" w:color="auto"/>
        <w:right w:val="none" w:sz="0" w:space="0" w:color="auto"/>
      </w:divBdr>
    </w:div>
    <w:div w:id="108820974">
      <w:bodyDiv w:val="1"/>
      <w:marLeft w:val="0"/>
      <w:marRight w:val="0"/>
      <w:marTop w:val="0"/>
      <w:marBottom w:val="0"/>
      <w:divBdr>
        <w:top w:val="none" w:sz="0" w:space="0" w:color="auto"/>
        <w:left w:val="none" w:sz="0" w:space="0" w:color="auto"/>
        <w:bottom w:val="none" w:sz="0" w:space="0" w:color="auto"/>
        <w:right w:val="none" w:sz="0" w:space="0" w:color="auto"/>
      </w:divBdr>
    </w:div>
    <w:div w:id="126046384">
      <w:bodyDiv w:val="1"/>
      <w:marLeft w:val="0"/>
      <w:marRight w:val="0"/>
      <w:marTop w:val="0"/>
      <w:marBottom w:val="0"/>
      <w:divBdr>
        <w:top w:val="none" w:sz="0" w:space="0" w:color="auto"/>
        <w:left w:val="none" w:sz="0" w:space="0" w:color="auto"/>
        <w:bottom w:val="none" w:sz="0" w:space="0" w:color="auto"/>
        <w:right w:val="none" w:sz="0" w:space="0" w:color="auto"/>
      </w:divBdr>
    </w:div>
    <w:div w:id="147792123">
      <w:bodyDiv w:val="1"/>
      <w:marLeft w:val="0"/>
      <w:marRight w:val="0"/>
      <w:marTop w:val="0"/>
      <w:marBottom w:val="0"/>
      <w:divBdr>
        <w:top w:val="none" w:sz="0" w:space="0" w:color="auto"/>
        <w:left w:val="none" w:sz="0" w:space="0" w:color="auto"/>
        <w:bottom w:val="none" w:sz="0" w:space="0" w:color="auto"/>
        <w:right w:val="none" w:sz="0" w:space="0" w:color="auto"/>
      </w:divBdr>
    </w:div>
    <w:div w:id="171920290">
      <w:bodyDiv w:val="1"/>
      <w:marLeft w:val="0"/>
      <w:marRight w:val="0"/>
      <w:marTop w:val="0"/>
      <w:marBottom w:val="0"/>
      <w:divBdr>
        <w:top w:val="none" w:sz="0" w:space="0" w:color="auto"/>
        <w:left w:val="none" w:sz="0" w:space="0" w:color="auto"/>
        <w:bottom w:val="none" w:sz="0" w:space="0" w:color="auto"/>
        <w:right w:val="none" w:sz="0" w:space="0" w:color="auto"/>
      </w:divBdr>
    </w:div>
    <w:div w:id="235365587">
      <w:bodyDiv w:val="1"/>
      <w:marLeft w:val="0"/>
      <w:marRight w:val="0"/>
      <w:marTop w:val="0"/>
      <w:marBottom w:val="0"/>
      <w:divBdr>
        <w:top w:val="none" w:sz="0" w:space="0" w:color="auto"/>
        <w:left w:val="none" w:sz="0" w:space="0" w:color="auto"/>
        <w:bottom w:val="none" w:sz="0" w:space="0" w:color="auto"/>
        <w:right w:val="none" w:sz="0" w:space="0" w:color="auto"/>
      </w:divBdr>
    </w:div>
    <w:div w:id="607346541">
      <w:bodyDiv w:val="1"/>
      <w:marLeft w:val="0"/>
      <w:marRight w:val="0"/>
      <w:marTop w:val="0"/>
      <w:marBottom w:val="0"/>
      <w:divBdr>
        <w:top w:val="none" w:sz="0" w:space="0" w:color="auto"/>
        <w:left w:val="none" w:sz="0" w:space="0" w:color="auto"/>
        <w:bottom w:val="none" w:sz="0" w:space="0" w:color="auto"/>
        <w:right w:val="none" w:sz="0" w:space="0" w:color="auto"/>
      </w:divBdr>
    </w:div>
    <w:div w:id="679697982">
      <w:bodyDiv w:val="1"/>
      <w:marLeft w:val="0"/>
      <w:marRight w:val="0"/>
      <w:marTop w:val="0"/>
      <w:marBottom w:val="0"/>
      <w:divBdr>
        <w:top w:val="none" w:sz="0" w:space="0" w:color="auto"/>
        <w:left w:val="none" w:sz="0" w:space="0" w:color="auto"/>
        <w:bottom w:val="none" w:sz="0" w:space="0" w:color="auto"/>
        <w:right w:val="none" w:sz="0" w:space="0" w:color="auto"/>
      </w:divBdr>
    </w:div>
    <w:div w:id="931276622">
      <w:bodyDiv w:val="1"/>
      <w:marLeft w:val="0"/>
      <w:marRight w:val="0"/>
      <w:marTop w:val="0"/>
      <w:marBottom w:val="0"/>
      <w:divBdr>
        <w:top w:val="none" w:sz="0" w:space="0" w:color="auto"/>
        <w:left w:val="none" w:sz="0" w:space="0" w:color="auto"/>
        <w:bottom w:val="none" w:sz="0" w:space="0" w:color="auto"/>
        <w:right w:val="none" w:sz="0" w:space="0" w:color="auto"/>
      </w:divBdr>
    </w:div>
    <w:div w:id="1030298995">
      <w:bodyDiv w:val="1"/>
      <w:marLeft w:val="0"/>
      <w:marRight w:val="0"/>
      <w:marTop w:val="0"/>
      <w:marBottom w:val="0"/>
      <w:divBdr>
        <w:top w:val="none" w:sz="0" w:space="0" w:color="auto"/>
        <w:left w:val="none" w:sz="0" w:space="0" w:color="auto"/>
        <w:bottom w:val="none" w:sz="0" w:space="0" w:color="auto"/>
        <w:right w:val="none" w:sz="0" w:space="0" w:color="auto"/>
      </w:divBdr>
    </w:div>
    <w:div w:id="1045177824">
      <w:bodyDiv w:val="1"/>
      <w:marLeft w:val="0"/>
      <w:marRight w:val="0"/>
      <w:marTop w:val="0"/>
      <w:marBottom w:val="0"/>
      <w:divBdr>
        <w:top w:val="none" w:sz="0" w:space="0" w:color="auto"/>
        <w:left w:val="none" w:sz="0" w:space="0" w:color="auto"/>
        <w:bottom w:val="none" w:sz="0" w:space="0" w:color="auto"/>
        <w:right w:val="none" w:sz="0" w:space="0" w:color="auto"/>
      </w:divBdr>
    </w:div>
    <w:div w:id="1080449109">
      <w:bodyDiv w:val="1"/>
      <w:marLeft w:val="0"/>
      <w:marRight w:val="0"/>
      <w:marTop w:val="0"/>
      <w:marBottom w:val="0"/>
      <w:divBdr>
        <w:top w:val="none" w:sz="0" w:space="0" w:color="auto"/>
        <w:left w:val="none" w:sz="0" w:space="0" w:color="auto"/>
        <w:bottom w:val="none" w:sz="0" w:space="0" w:color="auto"/>
        <w:right w:val="none" w:sz="0" w:space="0" w:color="auto"/>
      </w:divBdr>
    </w:div>
    <w:div w:id="1119761896">
      <w:bodyDiv w:val="1"/>
      <w:marLeft w:val="0"/>
      <w:marRight w:val="0"/>
      <w:marTop w:val="0"/>
      <w:marBottom w:val="0"/>
      <w:divBdr>
        <w:top w:val="none" w:sz="0" w:space="0" w:color="auto"/>
        <w:left w:val="none" w:sz="0" w:space="0" w:color="auto"/>
        <w:bottom w:val="none" w:sz="0" w:space="0" w:color="auto"/>
        <w:right w:val="none" w:sz="0" w:space="0" w:color="auto"/>
      </w:divBdr>
    </w:div>
    <w:div w:id="1138842066">
      <w:bodyDiv w:val="1"/>
      <w:marLeft w:val="0"/>
      <w:marRight w:val="0"/>
      <w:marTop w:val="0"/>
      <w:marBottom w:val="0"/>
      <w:divBdr>
        <w:top w:val="none" w:sz="0" w:space="0" w:color="auto"/>
        <w:left w:val="none" w:sz="0" w:space="0" w:color="auto"/>
        <w:bottom w:val="none" w:sz="0" w:space="0" w:color="auto"/>
        <w:right w:val="none" w:sz="0" w:space="0" w:color="auto"/>
      </w:divBdr>
    </w:div>
    <w:div w:id="1169058652">
      <w:bodyDiv w:val="1"/>
      <w:marLeft w:val="0"/>
      <w:marRight w:val="0"/>
      <w:marTop w:val="0"/>
      <w:marBottom w:val="0"/>
      <w:divBdr>
        <w:top w:val="none" w:sz="0" w:space="0" w:color="auto"/>
        <w:left w:val="none" w:sz="0" w:space="0" w:color="auto"/>
        <w:bottom w:val="none" w:sz="0" w:space="0" w:color="auto"/>
        <w:right w:val="none" w:sz="0" w:space="0" w:color="auto"/>
      </w:divBdr>
    </w:div>
    <w:div w:id="1242911141">
      <w:bodyDiv w:val="1"/>
      <w:marLeft w:val="0"/>
      <w:marRight w:val="0"/>
      <w:marTop w:val="0"/>
      <w:marBottom w:val="0"/>
      <w:divBdr>
        <w:top w:val="none" w:sz="0" w:space="0" w:color="auto"/>
        <w:left w:val="none" w:sz="0" w:space="0" w:color="auto"/>
        <w:bottom w:val="none" w:sz="0" w:space="0" w:color="auto"/>
        <w:right w:val="none" w:sz="0" w:space="0" w:color="auto"/>
      </w:divBdr>
    </w:div>
    <w:div w:id="1278172757">
      <w:bodyDiv w:val="1"/>
      <w:marLeft w:val="0"/>
      <w:marRight w:val="0"/>
      <w:marTop w:val="0"/>
      <w:marBottom w:val="0"/>
      <w:divBdr>
        <w:top w:val="none" w:sz="0" w:space="0" w:color="auto"/>
        <w:left w:val="none" w:sz="0" w:space="0" w:color="auto"/>
        <w:bottom w:val="none" w:sz="0" w:space="0" w:color="auto"/>
        <w:right w:val="none" w:sz="0" w:space="0" w:color="auto"/>
      </w:divBdr>
    </w:div>
    <w:div w:id="1285500551">
      <w:bodyDiv w:val="1"/>
      <w:marLeft w:val="0"/>
      <w:marRight w:val="0"/>
      <w:marTop w:val="0"/>
      <w:marBottom w:val="0"/>
      <w:divBdr>
        <w:top w:val="none" w:sz="0" w:space="0" w:color="auto"/>
        <w:left w:val="none" w:sz="0" w:space="0" w:color="auto"/>
        <w:bottom w:val="none" w:sz="0" w:space="0" w:color="auto"/>
        <w:right w:val="none" w:sz="0" w:space="0" w:color="auto"/>
      </w:divBdr>
    </w:div>
    <w:div w:id="1295329405">
      <w:bodyDiv w:val="1"/>
      <w:marLeft w:val="0"/>
      <w:marRight w:val="0"/>
      <w:marTop w:val="0"/>
      <w:marBottom w:val="0"/>
      <w:divBdr>
        <w:top w:val="none" w:sz="0" w:space="0" w:color="auto"/>
        <w:left w:val="none" w:sz="0" w:space="0" w:color="auto"/>
        <w:bottom w:val="none" w:sz="0" w:space="0" w:color="auto"/>
        <w:right w:val="none" w:sz="0" w:space="0" w:color="auto"/>
      </w:divBdr>
    </w:div>
    <w:div w:id="1337228019">
      <w:bodyDiv w:val="1"/>
      <w:marLeft w:val="0"/>
      <w:marRight w:val="0"/>
      <w:marTop w:val="0"/>
      <w:marBottom w:val="0"/>
      <w:divBdr>
        <w:top w:val="none" w:sz="0" w:space="0" w:color="auto"/>
        <w:left w:val="none" w:sz="0" w:space="0" w:color="auto"/>
        <w:bottom w:val="none" w:sz="0" w:space="0" w:color="auto"/>
        <w:right w:val="none" w:sz="0" w:space="0" w:color="auto"/>
      </w:divBdr>
    </w:div>
    <w:div w:id="1516773460">
      <w:bodyDiv w:val="1"/>
      <w:marLeft w:val="0"/>
      <w:marRight w:val="0"/>
      <w:marTop w:val="0"/>
      <w:marBottom w:val="0"/>
      <w:divBdr>
        <w:top w:val="none" w:sz="0" w:space="0" w:color="auto"/>
        <w:left w:val="none" w:sz="0" w:space="0" w:color="auto"/>
        <w:bottom w:val="none" w:sz="0" w:space="0" w:color="auto"/>
        <w:right w:val="none" w:sz="0" w:space="0" w:color="auto"/>
      </w:divBdr>
    </w:div>
    <w:div w:id="1569926362">
      <w:bodyDiv w:val="1"/>
      <w:marLeft w:val="0"/>
      <w:marRight w:val="0"/>
      <w:marTop w:val="0"/>
      <w:marBottom w:val="0"/>
      <w:divBdr>
        <w:top w:val="none" w:sz="0" w:space="0" w:color="auto"/>
        <w:left w:val="none" w:sz="0" w:space="0" w:color="auto"/>
        <w:bottom w:val="none" w:sz="0" w:space="0" w:color="auto"/>
        <w:right w:val="none" w:sz="0" w:space="0" w:color="auto"/>
      </w:divBdr>
    </w:div>
    <w:div w:id="1600260191">
      <w:bodyDiv w:val="1"/>
      <w:marLeft w:val="0"/>
      <w:marRight w:val="0"/>
      <w:marTop w:val="0"/>
      <w:marBottom w:val="0"/>
      <w:divBdr>
        <w:top w:val="none" w:sz="0" w:space="0" w:color="auto"/>
        <w:left w:val="none" w:sz="0" w:space="0" w:color="auto"/>
        <w:bottom w:val="none" w:sz="0" w:space="0" w:color="auto"/>
        <w:right w:val="none" w:sz="0" w:space="0" w:color="auto"/>
      </w:divBdr>
    </w:div>
    <w:div w:id="1666786340">
      <w:bodyDiv w:val="1"/>
      <w:marLeft w:val="0"/>
      <w:marRight w:val="0"/>
      <w:marTop w:val="0"/>
      <w:marBottom w:val="0"/>
      <w:divBdr>
        <w:top w:val="none" w:sz="0" w:space="0" w:color="auto"/>
        <w:left w:val="none" w:sz="0" w:space="0" w:color="auto"/>
        <w:bottom w:val="none" w:sz="0" w:space="0" w:color="auto"/>
        <w:right w:val="none" w:sz="0" w:space="0" w:color="auto"/>
      </w:divBdr>
    </w:div>
    <w:div w:id="1681666283">
      <w:bodyDiv w:val="1"/>
      <w:marLeft w:val="0"/>
      <w:marRight w:val="0"/>
      <w:marTop w:val="0"/>
      <w:marBottom w:val="0"/>
      <w:divBdr>
        <w:top w:val="none" w:sz="0" w:space="0" w:color="auto"/>
        <w:left w:val="none" w:sz="0" w:space="0" w:color="auto"/>
        <w:bottom w:val="none" w:sz="0" w:space="0" w:color="auto"/>
        <w:right w:val="none" w:sz="0" w:space="0" w:color="auto"/>
      </w:divBdr>
    </w:div>
    <w:div w:id="1755391734">
      <w:bodyDiv w:val="1"/>
      <w:marLeft w:val="0"/>
      <w:marRight w:val="0"/>
      <w:marTop w:val="0"/>
      <w:marBottom w:val="0"/>
      <w:divBdr>
        <w:top w:val="none" w:sz="0" w:space="0" w:color="auto"/>
        <w:left w:val="none" w:sz="0" w:space="0" w:color="auto"/>
        <w:bottom w:val="none" w:sz="0" w:space="0" w:color="auto"/>
        <w:right w:val="none" w:sz="0" w:space="0" w:color="auto"/>
      </w:divBdr>
    </w:div>
    <w:div w:id="1881941216">
      <w:bodyDiv w:val="1"/>
      <w:marLeft w:val="0"/>
      <w:marRight w:val="0"/>
      <w:marTop w:val="0"/>
      <w:marBottom w:val="0"/>
      <w:divBdr>
        <w:top w:val="none" w:sz="0" w:space="0" w:color="auto"/>
        <w:left w:val="none" w:sz="0" w:space="0" w:color="auto"/>
        <w:bottom w:val="none" w:sz="0" w:space="0" w:color="auto"/>
        <w:right w:val="none" w:sz="0" w:space="0" w:color="auto"/>
      </w:divBdr>
    </w:div>
    <w:div w:id="1891527584">
      <w:bodyDiv w:val="1"/>
      <w:marLeft w:val="0"/>
      <w:marRight w:val="0"/>
      <w:marTop w:val="0"/>
      <w:marBottom w:val="0"/>
      <w:divBdr>
        <w:top w:val="none" w:sz="0" w:space="0" w:color="auto"/>
        <w:left w:val="none" w:sz="0" w:space="0" w:color="auto"/>
        <w:bottom w:val="none" w:sz="0" w:space="0" w:color="auto"/>
        <w:right w:val="none" w:sz="0" w:space="0" w:color="auto"/>
      </w:divBdr>
    </w:div>
    <w:div w:id="1902012867">
      <w:bodyDiv w:val="1"/>
      <w:marLeft w:val="0"/>
      <w:marRight w:val="0"/>
      <w:marTop w:val="0"/>
      <w:marBottom w:val="0"/>
      <w:divBdr>
        <w:top w:val="none" w:sz="0" w:space="0" w:color="auto"/>
        <w:left w:val="none" w:sz="0" w:space="0" w:color="auto"/>
        <w:bottom w:val="none" w:sz="0" w:space="0" w:color="auto"/>
        <w:right w:val="none" w:sz="0" w:space="0" w:color="auto"/>
      </w:divBdr>
    </w:div>
    <w:div w:id="1979913078">
      <w:bodyDiv w:val="1"/>
      <w:marLeft w:val="0"/>
      <w:marRight w:val="0"/>
      <w:marTop w:val="0"/>
      <w:marBottom w:val="0"/>
      <w:divBdr>
        <w:top w:val="none" w:sz="0" w:space="0" w:color="auto"/>
        <w:left w:val="none" w:sz="0" w:space="0" w:color="auto"/>
        <w:bottom w:val="none" w:sz="0" w:space="0" w:color="auto"/>
        <w:right w:val="none" w:sz="0" w:space="0" w:color="auto"/>
      </w:divBdr>
    </w:div>
    <w:div w:id="2004553147">
      <w:bodyDiv w:val="1"/>
      <w:marLeft w:val="0"/>
      <w:marRight w:val="0"/>
      <w:marTop w:val="0"/>
      <w:marBottom w:val="0"/>
      <w:divBdr>
        <w:top w:val="none" w:sz="0" w:space="0" w:color="auto"/>
        <w:left w:val="none" w:sz="0" w:space="0" w:color="auto"/>
        <w:bottom w:val="none" w:sz="0" w:space="0" w:color="auto"/>
        <w:right w:val="none" w:sz="0" w:space="0" w:color="auto"/>
      </w:divBdr>
    </w:div>
    <w:div w:id="2073455999">
      <w:bodyDiv w:val="1"/>
      <w:marLeft w:val="0"/>
      <w:marRight w:val="0"/>
      <w:marTop w:val="0"/>
      <w:marBottom w:val="0"/>
      <w:divBdr>
        <w:top w:val="none" w:sz="0" w:space="0" w:color="auto"/>
        <w:left w:val="none" w:sz="0" w:space="0" w:color="auto"/>
        <w:bottom w:val="none" w:sz="0" w:space="0" w:color="auto"/>
        <w:right w:val="none" w:sz="0" w:space="0" w:color="auto"/>
      </w:divBdr>
    </w:div>
    <w:div w:id="2096437169">
      <w:bodyDiv w:val="1"/>
      <w:marLeft w:val="0"/>
      <w:marRight w:val="0"/>
      <w:marTop w:val="0"/>
      <w:marBottom w:val="0"/>
      <w:divBdr>
        <w:top w:val="none" w:sz="0" w:space="0" w:color="auto"/>
        <w:left w:val="none" w:sz="0" w:space="0" w:color="auto"/>
        <w:bottom w:val="none" w:sz="0" w:space="0" w:color="auto"/>
        <w:right w:val="none" w:sz="0" w:space="0" w:color="auto"/>
      </w:divBdr>
    </w:div>
    <w:div w:id="2110926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5683DD39B33419A8EB00DC3B2EB7D44"/>
        <w:category>
          <w:name w:val="General"/>
          <w:gallery w:val="placeholder"/>
        </w:category>
        <w:types>
          <w:type w:val="bbPlcHdr"/>
        </w:types>
        <w:behaviors>
          <w:behavior w:val="content"/>
        </w:behaviors>
        <w:guid w:val="{DFEFC92B-5343-4F29-88A3-EFE14229CBBF}"/>
      </w:docPartPr>
      <w:docPartBody>
        <w:p w:rsidR="006924C9" w:rsidRDefault="00820119" w:rsidP="00820119">
          <w:pPr>
            <w:pStyle w:val="35683DD39B33419A8EB00DC3B2EB7D4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119"/>
    <w:rsid w:val="00665C4E"/>
    <w:rsid w:val="006924C9"/>
    <w:rsid w:val="00820119"/>
    <w:rsid w:val="00FF3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5683DD39B33419A8EB00DC3B2EB7D44">
    <w:name w:val="35683DD39B33419A8EB00DC3B2EB7D44"/>
    <w:rsid w:val="008201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PwC">
  <a:themeElements>
    <a:clrScheme name="PwC Orange">
      <a:dk1>
        <a:srgbClr val="000000"/>
      </a:dk1>
      <a:lt1>
        <a:srgbClr val="FFFFFF"/>
      </a:lt1>
      <a:dk2>
        <a:srgbClr val="DC6900"/>
      </a:dk2>
      <a:lt2>
        <a:srgbClr val="FFFFFF"/>
      </a:lt2>
      <a:accent1>
        <a:srgbClr val="DC6900"/>
      </a:accent1>
      <a:accent2>
        <a:srgbClr val="FFB600"/>
      </a:accent2>
      <a:accent3>
        <a:srgbClr val="602320"/>
      </a:accent3>
      <a:accent4>
        <a:srgbClr val="E27588"/>
      </a:accent4>
      <a:accent5>
        <a:srgbClr val="A32020"/>
      </a:accent5>
      <a:accent6>
        <a:srgbClr val="E0301E"/>
      </a:accent6>
      <a:hlink>
        <a:srgbClr val="0000FF"/>
      </a:hlink>
      <a:folHlink>
        <a:srgbClr val="0000FF"/>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indent="-274320">
          <a:spcAft>
            <a:spcPts val="900"/>
          </a:spcAft>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Tes211</b:Tag>
    <b:SourceType>Report</b:SourceType>
    <b:Guid>{73895DF5-5503-45A0-9153-3131F522EEF2}</b:Guid>
    <b:Title>Annual Financial Report</b:Title>
    <b:Year>2021</b:Year>
    <b:Author>
      <b:Author>
        <b:NameList>
          <b:Person>
            <b:Last>Tesco</b:Last>
          </b:Person>
        </b:NameList>
      </b:Author>
    </b:Author>
    <b:Publisher>Tesco</b:Publisher>
    <b:City>United Kingdom</b:City>
    <b:RefOrder>1</b:RefOrder>
  </b:Source>
  <b:Source>
    <b:Tag>Ann201</b:Tag>
    <b:SourceType>JournalArticle</b:SourceType>
    <b:Guid>{F9EC9A46-04D6-4CA2-8C44-206010FC52BE}</b:Guid>
    <b:Title>The distinctive stance of the King Reports on corporate governance from a global perspective</b:Title>
    <b:Year>2020</b:Year>
    <b:Author>
      <b:Author>
        <b:NameList>
          <b:Person>
            <b:Last>Ramalho</b:Last>
            <b:First>Anna</b:First>
          </b:Person>
        </b:NameList>
      </b:Author>
    </b:Author>
    <b:JournalName>Journal of Global Responsibility</b:JournalName>
    <b:RefOrder>2</b:RefOrder>
  </b:Source>
  <b:Source>
    <b:Tag>ICA201</b:Tag>
    <b:SourceType>InternetSite</b:SourceType>
    <b:Guid>{11970563-1B79-43B6-8F07-0A85AD7D4D14}</b:Guid>
    <b:Title>UK Corporate Governance Code</b:Title>
    <b:Year>2020</b:Year>
    <b:Author>
      <b:Author>
        <b:NameList>
          <b:Person>
            <b:Last>ICAEW</b:Last>
          </b:Person>
        </b:NameList>
      </b:Author>
    </b:Author>
    <b:InternetSiteTitle>ICAEW</b:InternetSiteTitle>
    <b:URL>https://www.icaew.com/technical/corporate-governance/codes-and-reports/uk-corporate-governance-code#:~:text=The%20UK%20Corporate%20Governance%20Code,Financial%20Reporting%20Council%20(FRC).</b:URL>
    <b:RefOrder>3</b:RefOrder>
  </b:Source>
  <b:Source>
    <b:Tag>Rob20</b:Tag>
    <b:SourceType>JournalArticle</b:SourceType>
    <b:Guid>{05AD929E-0AC0-4681-A677-D90D6812C5C6}</b:Guid>
    <b:Author>
      <b:Author>
        <b:NameList>
          <b:Person>
            <b:Last>Roberts</b:Last>
            <b:First>John</b:First>
          </b:Person>
        </b:NameList>
      </b:Author>
    </b:Author>
    <b:Title>The UK Corporate Governance Code Principle of ‘Comply or Explain’: Understanding Code Compliance as ‘Subjection’</b:Title>
    <b:InternetSiteTitle>ABACUS</b:InternetSiteTitle>
    <b:Year>2020</b:Year>
    <b:JournalName>ABACUS</b:JournalName>
    <b:Pages>602-626</b:Pages>
    <b:RefOrder>4</b:RefOrder>
  </b:Source>
  <b:Source>
    <b:Tag>Del21</b:Tag>
    <b:SourceType>InternetSite</b:SourceType>
    <b:Guid>{A24CDA7B-FEA2-4114-8E9B-0292D18A54DB}</b:Guid>
    <b:Title>UK Corporate Governance Code</b:Title>
    <b:Year>2021</b:Year>
    <b:Author>
      <b:Author>
        <b:NameList>
          <b:Person>
            <b:Last>Delloitte</b:Last>
          </b:Person>
        </b:NameList>
      </b:Author>
    </b:Author>
    <b:InternetSiteTitle>Delloitte</b:InternetSiteTitle>
    <b:URL>https://www.iasplus.com/en-gb/standards/corporate-governance/uk-corporate-governance-code#:~:text=Division%20of%20responsibilities%3A%20There%20should,the%20board%20should%20be%20appropriate.</b:URL>
    <b:RefOrder>5</b:RefOrder>
  </b:Source>
  <b:Source>
    <b:Tag>Abd211</b:Tag>
    <b:SourceType>JournalArticle</b:SourceType>
    <b:Guid>{907218CB-C4C8-4C0F-903F-1294EB2DC002}</b:Guid>
    <b:Author>
      <b:Author>
        <b:NameList>
          <b:Person>
            <b:Last>Abdus</b:Last>
            <b:First>Sobhan,</b:First>
            <b:Middle>Emmanuel Adegbite</b:Middle>
          </b:Person>
        </b:NameList>
      </b:Author>
    </b:Author>
    <b:Title>Determinants of the quality of external board evaluation in the UK</b:Title>
    <b:InternetSiteTitle>Corporate Governance</b:InternetSiteTitle>
    <b:Year>2021</b:Year>
    <b:JournalName>Corporate Governance</b:JournalName>
    <b:RefOrder>6</b:RefOrder>
  </b:Source>
  <b:Source>
    <b:Tag>Cha201</b:Tag>
    <b:SourceType>JournalArticle</b:SourceType>
    <b:Guid>{80F4BFE4-2F84-4D03-B42D-FFD1EFA78D75}</b:Guid>
    <b:Author>
      <b:Author>
        <b:NameList>
          <b:Person>
            <b:Last>Charles</b:Last>
            <b:First>Harvey,</b:First>
            <b:Middle>Mairi Maclean, Michael Price</b:Middle>
          </b:Person>
        </b:NameList>
      </b:Author>
    </b:Author>
    <b:Title>Executive remuneration and the limits of disclosure as an instrument of corporate governance</b:Title>
    <b:JournalName>Critical Perspectives on Accounting</b:JournalName>
    <b:Year>2020</b:Year>
    <b:RefOrder>7</b:RefOrder>
  </b:Source>
  <b:Source>
    <b:Tag>Mar202</b:Tag>
    <b:SourceType>JournalArticle</b:SourceType>
    <b:Guid>{6BFAC888-8638-45B3-872D-CA85FD864407}</b:Guid>
    <b:Author>
      <b:Author>
        <b:NameList>
          <b:Person>
            <b:Last>Marius</b:Last>
            <b:First>Schwarz,</b:First>
            <b:Middle>Christina Nakhle, Christof Knoeri</b:Middle>
          </b:Person>
        </b:NameList>
      </b:Author>
    </b:Author>
    <b:Title>Innovative designs of building energy codes for building decarbonization and their implementation challenges</b:Title>
    <b:JournalName>Journal of Cleaner Production</b:JournalName>
    <b:Year>2020</b:Year>
    <b:RefOrder>8</b:RefOrder>
  </b:Source>
  <b:Source>
    <b:Tag>Lex21</b:Tag>
    <b:SourceType>InternetSite</b:SourceType>
    <b:Guid>{23FB93C7-E13D-4222-AAC5-8826598767C7}</b:Guid>
    <b:Author>
      <b:Author>
        <b:NameList>
          <b:Person>
            <b:Last>LexisPSL</b:Last>
          </b:Person>
        </b:NameList>
      </b:Author>
    </b:Author>
    <b:Title>2018 UK Corporate Governance Code—Section 3—Composition, succession and evaluation</b:Title>
    <b:Year>2021</b:Year>
    <b:InternetSiteTitle>LexisPSL</b:InternetSiteTitle>
    <b:URL>https://www.lexisnexis.co.uk/legal/guidance/2018-uk-corporate-governance-code-section-3-composition-succession-evaluation</b:URL>
    <b:RefOrder>9</b:RefOrder>
  </b:Source>
  <b:Source>
    <b:Tag>Gil22</b:Tag>
    <b:SourceType>JournalArticle</b:SourceType>
    <b:Guid>{20C24A4F-3C7C-4F50-8D20-44614081B7D8}</b:Guid>
    <b:Title>A SUCCESSION PLANNING MODEL FOR ACADEMIC HEADS</b:Title>
    <b:Year>2022</b:Year>
    <b:Author>
      <b:Author>
        <b:NameList>
          <b:Person>
            <b:Last>Gilbert</b:Last>
            <b:First>S.</b:First>
            <b:Middle>Arrieta, Caridad N. Barrameda, I Ketut Sudarsana</b:Middle>
          </b:Person>
        </b:NameList>
      </b:Author>
    </b:Author>
    <b:JournalName>Journal Penjaminan Mutu</b:JournalName>
    <b:RefOrder>10</b:RefOrder>
  </b:Source>
  <b:Source>
    <b:Tag>Rah211</b:Tag>
    <b:SourceType>JournalArticle</b:SourceType>
    <b:Guid>{2D8EEAD8-0AB7-4013-90EE-461A3E3EA155}</b:Guid>
    <b:Author>
      <b:Author>
        <b:NameList>
          <b:Person>
            <b:Last>Rahman</b:Last>
            <b:First>S,</b:First>
            <b:Middle>Mase, B</b:Middle>
          </b:Person>
        </b:NameList>
      </b:Author>
    </b:Author>
    <b:Title>Three essays on Earnings Management Evidence from UK</b:Title>
    <b:JournalName>Brunel University London</b:JournalName>
    <b:Year>2021</b:Year>
    <b:RefOrder>12</b:RefOrder>
  </b:Source>
  <b:Source>
    <b:Tag>FRC18</b:Tag>
    <b:SourceType>JournalArticle</b:SourceType>
    <b:Guid>{EC360716-5A7B-494F-8E96-60852DF92F3B}</b:Guid>
    <b:Author>
      <b:Author>
        <b:NameList>
          <b:Person>
            <b:Last>FRC</b:Last>
          </b:Person>
        </b:NameList>
      </b:Author>
    </b:Author>
    <b:Title>FRC UK corporate governance code</b:Title>
    <b:JournalName>FRC UK corporate governance code</b:JournalName>
    <b:Year>2018</b:Year>
    <b:Pages>1-20</b:Pages>
    <b:RefOrder>13</b:RefOrder>
  </b:Source>
  <b:Source>
    <b:Tag>Bai21</b:Tag>
    <b:SourceType>Report</b:SourceType>
    <b:Guid>{4DC40DAD-FA59-4E0D-BC71-8284D25D6A36}</b:Guid>
    <b:Author>
      <b:Author>
        <b:NameList>
          <b:Person>
            <b:Last>Baig</b:Last>
            <b:First>Mirza</b:First>
          </b:Person>
        </b:NameList>
      </b:Author>
    </b:Author>
    <b:Title>Code of Corporate Governance UK</b:Title>
    <b:JournalName>Principles of Remuneration</b:JournalName>
    <b:Year>2021</b:Year>
    <b:Pages>1-22</b:Pages>
    <b:Publisher>The Investment Association</b:Publisher>
    <b:City>United Kingdom</b:City>
    <b:RefOrder>14</b:RefOrder>
  </b:Source>
  <b:Source>
    <b:Tag>Fis21</b:Tag>
    <b:SourceType>JournalArticle</b:SourceType>
    <b:Guid>{69296D01-A2E2-4F61-8835-3172752726E3}</b:Guid>
    <b:Title>The Performance of Pension Funds and Their Impact on Economic Growth in OECD Countries</b:Title>
    <b:Year>2021</b:Year>
    <b:Author>
      <b:Author>
        <b:NameList>
          <b:Person>
            <b:Last>Fisnik</b:Last>
            <b:First>Morina,</b:First>
            <b:Middle>Simon Grima</b:Middle>
          </b:Person>
        </b:NameList>
      </b:Author>
    </b:Author>
    <b:JournalName>New Challenges for Future Sustainability and Wellbeing</b:JournalName>
    <b:RefOrder>11</b:RefOrder>
  </b:Source>
  <b:Source>
    <b:Tag>Aji20</b:Tag>
    <b:SourceType>JournalArticle</b:SourceType>
    <b:Guid>{EA25D3D9-0D53-4C3D-ACC2-DC5B6049A367}</b:Guid>
    <b:Author>
      <b:Author>
        <b:NameList>
          <b:Person>
            <b:Last>Ajid</b:Last>
            <b:First>ur</b:First>
            <b:Middle>Rehman, Tayyab Ali, Shahzad Hussainb</b:Middle>
          </b:Person>
        </b:NameList>
      </b:Author>
    </b:Author>
    <b:Title>Executive remuneration, corporate governance and corporate performance: Evidence from China</b:Title>
    <b:JournalName>Economic Research</b:JournalName>
    <b:Year>2020</b:Year>
    <b:RefOrder>15</b:RefOrder>
  </b:Source>
  <b:Source>
    <b:Tag>Lai211</b:Tag>
    <b:SourceType>JournalArticle</b:SourceType>
    <b:Guid>{C14F9FAC-E4D2-464B-9953-1B37D17D21C6}</b:Guid>
    <b:Author>
      <b:Author>
        <b:NameList>
          <b:Person>
            <b:Last>Laila</b:Last>
            <b:First>Aladwey,</b:First>
            <b:Middle>Adel Elgharbawy, Mona Atef Ganna</b:Middle>
          </b:Person>
        </b:NameList>
      </b:Author>
    </b:Author>
    <b:Title>Attributes of corporate boards and assurance of corporate social responsibility reporting: evidence from the UK</b:Title>
    <b:JournalName>Corporate Governance</b:JournalName>
    <b:Year>2021</b:Year>
    <b:Pages>1472-0701</b:Pages>
    <b:RefOrder>16</b:RefOrder>
  </b:Source>
</b:Sources>
</file>

<file path=customXml/itemProps1.xml><?xml version="1.0" encoding="utf-8"?>
<ds:datastoreItem xmlns:ds="http://schemas.openxmlformats.org/officeDocument/2006/customXml" ds:itemID="{CD7D7CE9-F625-4E2A-956C-357E5817C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2992</Words>
  <Characters>17057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20009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Code of Corporate Governance indiviual assignment</dc:creator>
  <cp:keywords/>
  <dc:description/>
  <cp:lastModifiedBy>Local Hulk</cp:lastModifiedBy>
  <cp:revision>7</cp:revision>
  <cp:lastPrinted>2022-04-05T21:37:00Z</cp:lastPrinted>
  <dcterms:created xsi:type="dcterms:W3CDTF">2022-04-06T10:36:00Z</dcterms:created>
  <dcterms:modified xsi:type="dcterms:W3CDTF">2025-10-15T21:10:00Z</dcterms:modified>
</cp:coreProperties>
</file>