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Intercultural Effectiveness for International Students in UK Higher Education: A Practical Framework</w:t>
      </w:r>
    </w:p>
    <w:p>
      <w:pPr>
        <w:jc w:val="center"/>
      </w:pPr>
      <w:r>
        <w:t>Author: Muhammad Afnan ul Haq</w:t>
      </w:r>
    </w:p>
    <w:p>
      <w:pPr>
        <w:jc w:val="center"/>
      </w:pPr>
      <w:r>
        <w:t>Adapted and expanded from the presentation “TEACH ME: Helping University of Huddersfield students become more interculturally effective.”</w:t>
      </w:r>
    </w:p>
    <w:p>
      <w:pPr>
        <w:pStyle w:val="Heading1"/>
      </w:pPr>
      <w:r>
        <w:t>Abstract</w:t>
      </w:r>
    </w:p>
    <w:p>
      <w:r>
        <w:t>This portfolio research synthesizes established intercultural communication literature with UK-specific guidance to translate theory into practical behaviours for international students. Building on Bennett’s intercultural competence model, Gudykunst’s anxiety/uncertainty management theory, and Hall’s work on time orientation, the paper addresses three recurring domains—language, time coordination, and dress culture—originally scoped in the author’s presentation. Using a narrative review of guidance from UKCISA and UK university careers services together with recent studies on international student integration and ICT-supported collaboration, the paper proposes a four-step adaptation loop (Notice–Name–Navigate–Normalize) and checklists for students and universities. Limitations and suggestions for a small mixed-methods evaluation are outlined to inform future improvements.</w:t>
      </w:r>
    </w:p>
    <w:p>
      <w:pPr>
        <w:pStyle w:val="Heading1"/>
      </w:pPr>
      <w:r>
        <w:t>1. Introduction</w:t>
      </w:r>
    </w:p>
    <w:p>
      <w:r>
        <w:t>UK higher education is highly international. Success in seminars, labs and group projects depends not only on English proficiency but also on cultural self-awareness, situational reading, and a small set of reliable behavioural routines. This paper expands the original three-part framework—language, time management, dress culture—by grounding it in core intercultural theories and up-to-date UK guidance, and by distilling everything into checklists for rapid use.</w:t>
      </w:r>
    </w:p>
    <w:p>
      <w:pPr>
        <w:pStyle w:val="Heading1"/>
      </w:pPr>
      <w:r>
        <w:t>2. Literature Backdrop (Brief)</w:t>
      </w:r>
    </w:p>
    <w:p>
      <w:r>
        <w:t>• Bennett’s intercultural competence (progression from ethnocentric to ethnorelative orientations).</w:t>
        <w:br/>
        <w:t>• Gudykunst’s Anxiety/Uncertainty Management (AUM) theory: keep uncertainty appraisals clear and anxiety within workable bounds to support effective communication.</w:t>
        <w:br/>
        <w:t>• Hall’s chronemics (monochronic vs. polychronic time) to understand coordination expectations in UK contexts.</w:t>
        <w:br/>
        <w:t>• UKCISA culture-shock guidance and recent reports on international-student integration (e.g., HEPI).</w:t>
      </w:r>
    </w:p>
    <w:p>
      <w:pPr>
        <w:pStyle w:val="Heading1"/>
      </w:pPr>
      <w:r>
        <w:t>3. A Practical Adaptation Loop</w:t>
      </w:r>
    </w:p>
    <w:p>
      <w:r>
        <w:t>1) Notice (Self-Awareness) → 2) Name (Situational Map) → 3) Navigate (Adaptive Behaviours) → 4) Normalize (Reflection). Students can implement the loop with purpose-first language, time-boxed teamwork, and context-aware attire, while keeping short reflection notes after key interactions.</w:t>
      </w:r>
    </w:p>
    <w:p>
      <w:pPr>
        <w:pStyle w:val="Heading1"/>
      </w:pPr>
      <w:r>
        <w:t>4. Language: From Accuracy to Clarity</w:t>
      </w:r>
    </w:p>
    <w:p>
      <w:r>
        <w:t>Use purpose-first openings (one-sentence ‘so-what’, then 2–3 supports), explicit signposting, and polite directness. Keep a personal phrasebook (agreeing, disagreeing, clarifying, buying time) and build weekly reflection loops. For writing and presentations, consult trusted phrase resources and practise 60–90 second summaries after seminars.</w:t>
      </w:r>
    </w:p>
    <w:p>
      <w:pPr>
        <w:pStyle w:val="Heading1"/>
      </w:pPr>
      <w:r>
        <w:t>5. Time Management: Coordinating Across Time Orientations</w:t>
      </w:r>
    </w:p>
    <w:p>
      <w:r>
        <w:t>Teams often mix monochronic and polychronic preferences. Anchor commitments in writing (agenda, owners, ‘definition of done’), work in 45–60 minute sprints, review mid-week, and add buffers for proofreading and referencing. Shared calendars and simple Kanban boards make expectations transparent.</w:t>
      </w:r>
    </w:p>
    <w:p>
      <w:pPr>
        <w:pStyle w:val="Heading1"/>
      </w:pPr>
      <w:r>
        <w:t>6. Dress Culture: Contextual Professionalism</w:t>
      </w:r>
    </w:p>
    <w:p>
      <w:r>
        <w:t>Map expectations to context—classroom (smart casual), presentations (business casual), interviews (business formal unless stated). If unsure, slightly overdress; prioritise neatness and fit. Build a small capsule wardrobe to reduce decision fatigue on high-stakes days.</w:t>
      </w:r>
    </w:p>
    <w:p>
      <w:pPr>
        <w:pStyle w:val="Heading1"/>
      </w:pPr>
      <w:r>
        <w:t>7. Digital Platforms and Integration</w:t>
      </w:r>
    </w:p>
    <w:p>
      <w:r>
        <w:t>Platform mismatches (e.g., WeChat vs. WhatsApp/Instagram) can fragment cohorts. Agree a default channel for projects, post summary ‘bridges’ across platforms, rotate facilitation, and use named turns. Buddy systems and structured mixing during induction and seminars can improve spoken-English confidence and belonging.</w:t>
      </w:r>
    </w:p>
    <w:p>
      <w:pPr>
        <w:pStyle w:val="Heading1"/>
      </w:pPr>
      <w:r>
        <w:t>8. Checklists (Copy &amp; Use)</w:t>
      </w:r>
    </w:p>
    <w:p>
      <w:r>
        <w:t>• Weekly micro-routine: two purpose-first drills; three new phrasebook entries; two solo sprints + one group sprint; outfit prep for presentations/interviews; a 10‑minute reflection.</w:t>
        <w:br/>
        <w:t>• Group project setup: channels + file naming; roles &amp; RACI; timeline with buffers; meeting etiquette (turn-taking, cameras/mics).</w:t>
      </w:r>
    </w:p>
    <w:p>
      <w:pPr>
        <w:pStyle w:val="Heading1"/>
      </w:pPr>
      <w:r>
        <w:t>9. Limitations and Future Work</w:t>
      </w:r>
    </w:p>
    <w:p>
      <w:r>
        <w:t>Practice-oriented synthesis; no primary data. Next step: a module-level mixed-methods evaluation—pre/post mini-surveys on clarity and anxiety, plus short interviews/focus groups after introducing the loop and checklists; compare across disciplines.</w:t>
      </w:r>
    </w:p>
    <w:p>
      <w:pPr>
        <w:pStyle w:val="Heading1"/>
      </w:pPr>
      <w:r>
        <w:t>References</w:t>
      </w:r>
    </w:p>
    <w:p>
      <w:r>
        <w:t>Bennett, M. J. (2004). Becoming interculturally competent. In J. S. Wurzel (Ed.), Toward multiculturalism: A reader in multicultural education. Newton, MA: Intercultural Resource Corporation.</w:t>
      </w:r>
    </w:p>
    <w:p>
      <w:r>
        <w:t>Bizumic, B. (2015). Ethnocentrism. Vocabulary for the Study of Religion, 1, 533–539.</w:t>
      </w:r>
    </w:p>
    <w:p>
      <w:r>
        <w:t>Gudykunst, W. B., &amp; Kim, Y. Y. (1997). Communicating with Strangers: An approach to intercultural communication (3rd ed.). New York, NY: McGraw-Hill. https://www.tukeinternationalconsulting.com/uploads/7/1/4/2/7142705/gudykunst_ch1_communicating_with_strangers.pdf</w:t>
      </w:r>
    </w:p>
    <w:p>
      <w:r>
        <w:t>Karunaratne, P. V. M. (2018). Dress in culture and culture as a sign system.</w:t>
      </w:r>
    </w:p>
    <w:p>
      <w:r>
        <w:t>Lu, C., &amp; Wan, C. (2018). Cultural self-awareness as awareness of culture’s influence on the self: Implications for cultural identification and well-being. Personality and Social Psychology Bulletin, 44(6), 823–837. https://doi.org/10.1177/0146167217752117</w:t>
      </w:r>
    </w:p>
    <w:p>
      <w:r>
        <w:t>Meyer, E. (2016). The Culture Map: Decoding how people think, lead, and get things done across cultures (International ed.). New York, NY: Public Affairs.</w:t>
      </w:r>
    </w:p>
    <w:p>
      <w:r>
        <w:t>Ramachandran, N. T. (2011). Enhancing international students’ experiences: An imperative agenda for universities in the UK. Journal of Research in International Education, 10(2), 201–220.</w:t>
      </w:r>
    </w:p>
    <w:p>
      <w:r>
        <w:t>Wang, J. (2013). Moving towards ethnorelativism: A framework for measuring and meeting students’ needs in cross-cultural business and technical communication. Journal of Technical Writing and Communication, 43(2), 201–218.</w:t>
      </w:r>
    </w:p>
    <w:p>
      <w:r>
        <w:t>Wu, W., &amp; Hammond, M. (2011). Challenges of university adjustment in the UK: A study of East Asian Master’s degree students. Journal of Further and Higher Education, 35(3), 423–438.</w:t>
      </w:r>
    </w:p>
    <w:p>
      <w:r>
        <w:t>Hall, E. T. (1983). The Dance of Life: The Other Dimension of Time. Garden City, NY: Anchor Press/Doubleday.</w:t>
      </w:r>
    </w:p>
    <w:p>
      <w:r>
        <w:t>UKCISA. (2025, February 14). Facing culture shock. https://www.ukcisa.org.uk/student-advice/life-in-the-uk/facing-culture-shock/</w:t>
      </w:r>
    </w:p>
    <w:p>
      <w:r>
        <w:t>Morley, J. (2021). Academic Phrasebank. The University of Manchester. https://www.phrasebank.manchester.ac.uk/</w:t>
      </w:r>
    </w:p>
    <w:p>
      <w:r>
        <w:t>University of Oxford Careers Service. (n.d.). Make a good first impression. https://www.careers.ox.ac.uk/make-a-good-first-impression</w:t>
      </w:r>
    </w:p>
    <w:p>
      <w:r>
        <w:t>University of Edinburgh Careers Service. (2025, July 29). Before your interview. https://careers.ed.ac.uk/interviews-and-assessment-centres/before-your-interview</w:t>
      </w:r>
    </w:p>
    <w:p>
      <w:r>
        <w:t>University of Bath Careers. (2024, October 25). What to wear to a job interview. https://blogs.bath.ac.uk/careers/2024/10/25/what-to-wear-to-a-job-interview/</w:t>
      </w:r>
    </w:p>
    <w:p>
      <w:r>
        <w:t>Ebel, P. (2024). How can UK universities improve their strategies for tackling integration challenges among Chinese students? HEPI Report 183. Higher Education Policy Institute. https://www.hepi.ac.uk/wp-content/uploads/2024/12/HEPI-Report-183-Tackling-integration-challenges-among-Chinese-students.pdf</w:t>
      </w:r>
    </w:p>
    <w:p>
      <w:r>
        <w:t>Zhao, X., &amp; O’Reilly, P. (2021). Breaking down barriers? ICTs, international students and intercultural communication within the UK. In C. Brassier‑Rodrigues &amp; P. Brassier (Eds.), Internationalisation at home: A collection of pedagogical approaches to develop students’ intercultural competences (Exploration, Vol. 194). Peter Lang. https://doi.org/10.3726/b18371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orgia" w:hAnsi="Georgia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